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F21790" w14:textId="04B6BD79" w:rsidR="00827A1F" w:rsidRPr="00827A1F" w:rsidRDefault="00827A1F" w:rsidP="0017031E">
      <w:pPr>
        <w:spacing w:beforeLines="100" w:before="240" w:afterLines="100" w:after="240" w:line="460" w:lineRule="exact"/>
        <w:jc w:val="center"/>
        <w:textAlignment w:val="baseline"/>
        <w:rPr>
          <w:rFonts w:ascii="微软雅黑" w:eastAsia="微软雅黑" w:hAnsi="微软雅黑" w:cs="Times New Roman"/>
          <w:b/>
          <w:sz w:val="32"/>
          <w:szCs w:val="32"/>
        </w:rPr>
      </w:pPr>
      <w:r w:rsidRPr="00827A1F">
        <w:rPr>
          <w:rFonts w:ascii="微软雅黑" w:eastAsia="微软雅黑" w:hAnsi="微软雅黑" w:cs="Times New Roman" w:hint="eastAsia"/>
          <w:b/>
          <w:sz w:val="32"/>
          <w:szCs w:val="32"/>
        </w:rPr>
        <w:t xml:space="preserve">ECOFLOW DELTA 2新品上市 </w:t>
      </w:r>
    </w:p>
    <w:p w14:paraId="292800DB" w14:textId="17E7F692" w:rsidR="001D3F3B" w:rsidRDefault="00827A1F" w:rsidP="0017031E">
      <w:pPr>
        <w:spacing w:beforeLines="100" w:before="240" w:afterLines="100" w:after="240" w:line="460" w:lineRule="exact"/>
        <w:jc w:val="center"/>
        <w:textAlignment w:val="baseline"/>
        <w:rPr>
          <w:rFonts w:ascii="微软雅黑" w:eastAsia="微软雅黑" w:hAnsi="微软雅黑" w:cs="Times New Roman"/>
          <w:b/>
          <w:sz w:val="32"/>
          <w:szCs w:val="32"/>
        </w:rPr>
      </w:pPr>
      <w:r w:rsidRPr="00827A1F">
        <w:rPr>
          <w:rFonts w:ascii="微软雅黑" w:eastAsia="微软雅黑" w:hAnsi="微软雅黑" w:cs="Times New Roman" w:hint="eastAsia"/>
          <w:b/>
          <w:sz w:val="32"/>
          <w:szCs w:val="32"/>
        </w:rPr>
        <w:t>创意内容激活全域流量，助力打造移动储能头部品牌</w:t>
      </w:r>
    </w:p>
    <w:p w14:paraId="0B14D8D6" w14:textId="1FC2A205"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3603D3" w:rsidRPr="003603D3">
        <w:rPr>
          <w:rFonts w:ascii="微软雅黑" w:eastAsia="微软雅黑" w:hAnsi="微软雅黑"/>
          <w:sz w:val="21"/>
          <w:szCs w:val="21"/>
        </w:rPr>
        <w:t>Ecoflow</w:t>
      </w:r>
    </w:p>
    <w:p w14:paraId="39CF38F3" w14:textId="2BDEC1B8"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3603D3" w:rsidRPr="003603D3">
        <w:rPr>
          <w:rFonts w:ascii="微软雅黑" w:eastAsia="微软雅黑" w:hAnsi="微软雅黑"/>
          <w:sz w:val="21"/>
          <w:szCs w:val="21"/>
        </w:rPr>
        <w:t>便携式储能电源</w:t>
      </w:r>
      <w:r w:rsidR="003603D3">
        <w:rPr>
          <w:rFonts w:ascii="微软雅黑" w:eastAsia="微软雅黑" w:hAnsi="微软雅黑" w:hint="eastAsia"/>
          <w:sz w:val="21"/>
          <w:szCs w:val="21"/>
        </w:rPr>
        <w:t xml:space="preserve"> </w:t>
      </w:r>
      <w:r w:rsidR="003603D3" w:rsidRPr="003603D3">
        <w:rPr>
          <w:rFonts w:ascii="微软雅黑" w:eastAsia="微软雅黑" w:hAnsi="微软雅黑"/>
          <w:sz w:val="21"/>
          <w:szCs w:val="21"/>
        </w:rPr>
        <w:t>数码3C</w:t>
      </w:r>
    </w:p>
    <w:p w14:paraId="5DC88663" w14:textId="7CFACA1A"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3603D3">
        <w:rPr>
          <w:rFonts w:ascii="微软雅黑" w:eastAsia="微软雅黑" w:hAnsi="微软雅黑"/>
          <w:sz w:val="21"/>
          <w:szCs w:val="21"/>
        </w:rPr>
        <w:t>10</w:t>
      </w:r>
      <w:r w:rsidR="007A4E3A" w:rsidRPr="00E5768D">
        <w:rPr>
          <w:rFonts w:ascii="微软雅黑" w:eastAsia="微软雅黑" w:hAnsi="微软雅黑" w:hint="eastAsia"/>
          <w:sz w:val="21"/>
          <w:szCs w:val="21"/>
        </w:rPr>
        <w:t>-1</w:t>
      </w:r>
      <w:r w:rsidR="003603D3">
        <w:rPr>
          <w:rFonts w:ascii="微软雅黑" w:eastAsia="微软雅黑" w:hAnsi="微软雅黑"/>
          <w:sz w:val="21"/>
          <w:szCs w:val="21"/>
        </w:rPr>
        <w:t>1.05</w:t>
      </w:r>
    </w:p>
    <w:p w14:paraId="1F6E17B5" w14:textId="5ABF9843"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17031E">
        <w:rPr>
          <w:rFonts w:ascii="微软雅黑" w:eastAsia="微软雅黑" w:hAnsi="微软雅黑" w:hint="eastAsia"/>
          <w:sz w:val="21"/>
          <w:szCs w:val="21"/>
        </w:rPr>
        <w:t>出海营销类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3C9EBDD" w14:textId="24F2A51E" w:rsidR="005F5C93" w:rsidRDefault="003603D3" w:rsidP="003603D3">
      <w:pPr>
        <w:spacing w:before="100" w:beforeAutospacing="1" w:after="100" w:afterAutospacing="1"/>
        <w:textAlignment w:val="baseline"/>
        <w:rPr>
          <w:rFonts w:ascii="微软雅黑" w:eastAsia="微软雅黑" w:hAnsi="微软雅黑"/>
          <w:sz w:val="21"/>
          <w:szCs w:val="21"/>
        </w:rPr>
      </w:pPr>
      <w:r w:rsidRPr="003603D3">
        <w:rPr>
          <w:rFonts w:ascii="微软雅黑" w:eastAsia="微软雅黑" w:hAnsi="微软雅黑"/>
          <w:sz w:val="21"/>
          <w:szCs w:val="21"/>
        </w:rPr>
        <w:t>Ecoflow发布其旗舰新品DELTA 2，以“Not Just a Battery”为核心观念，延续并发展Ecoflow “Power a new world”的品牌调性。新品创意广告大片在主流社交媒体平台发布引发科技、户外、储能等圈层媒体的强势关注。配合区域性网红营销以及线下数字、地标、物料等投放，实现线上线下全方位全渠道配合达到最大曝光，增加了品牌在美国、日本储能市场的影响力并稳固中国储能在世界范围内的头部地位。</w:t>
      </w:r>
    </w:p>
    <w:p w14:paraId="0BB52BC5" w14:textId="5773C321" w:rsidR="003603D3" w:rsidRPr="003603D3" w:rsidRDefault="003603D3" w:rsidP="003603D3">
      <w:pPr>
        <w:spacing w:before="100" w:beforeAutospacing="1" w:after="100" w:afterAutospacing="1"/>
        <w:textAlignment w:val="baseline"/>
        <w:rPr>
          <w:rFonts w:ascii="微软雅黑" w:eastAsia="微软雅黑" w:hAnsi="微软雅黑"/>
          <w:sz w:val="21"/>
          <w:szCs w:val="21"/>
        </w:rPr>
      </w:pPr>
      <w:r w:rsidRPr="003603D3">
        <w:rPr>
          <w:rFonts w:ascii="微软雅黑" w:eastAsia="微软雅黑" w:hAnsi="微软雅黑"/>
          <w:sz w:val="21"/>
          <w:szCs w:val="21"/>
        </w:rPr>
        <w:t>Ecoflow品牌已经在北美及欧洲市场针对户外行业的垂类受众进行了深度的精准营销，针对户外的垂类受众（35-65岁的中产男士），品类教育和品牌知名度在北美，欧洲通过之前的DELTA 2，River系列产品得到了极大的提升。</w:t>
      </w:r>
    </w:p>
    <w:p w14:paraId="79ECB251" w14:textId="02E45E1B" w:rsidR="003603D3" w:rsidRDefault="003603D3" w:rsidP="003603D3">
      <w:pPr>
        <w:spacing w:before="100" w:beforeAutospacing="1" w:after="100" w:afterAutospacing="1"/>
        <w:textAlignment w:val="baseline"/>
        <w:rPr>
          <w:rFonts w:ascii="微软雅黑" w:eastAsia="微软雅黑" w:hAnsi="微软雅黑"/>
          <w:sz w:val="21"/>
          <w:szCs w:val="21"/>
        </w:rPr>
      </w:pPr>
      <w:r w:rsidRPr="003603D3">
        <w:rPr>
          <w:bCs/>
          <w:noProof/>
          <w:color w:val="0D0D0D" w:themeColor="text1" w:themeTint="F2"/>
          <w:szCs w:val="21"/>
        </w:rPr>
        <w:drawing>
          <wp:inline distT="0" distB="0" distL="114300" distR="114300" wp14:anchorId="76642F1D" wp14:editId="7C70546E">
            <wp:extent cx="5716905" cy="2980690"/>
            <wp:effectExtent l="0" t="0" r="23495" b="165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8"/>
                    <a:stretch>
                      <a:fillRect/>
                    </a:stretch>
                  </pic:blipFill>
                  <pic:spPr>
                    <a:xfrm>
                      <a:off x="0" y="0"/>
                      <a:ext cx="5716905" cy="2980690"/>
                    </a:xfrm>
                    <a:prstGeom prst="rect">
                      <a:avLst/>
                    </a:prstGeom>
                  </pic:spPr>
                </pic:pic>
              </a:graphicData>
            </a:graphic>
          </wp:inline>
        </w:drawing>
      </w:r>
    </w:p>
    <w:p w14:paraId="0DFAD63A" w14:textId="1CF9703C" w:rsidR="003603D3" w:rsidRDefault="003603D3" w:rsidP="003603D3">
      <w:pPr>
        <w:spacing w:before="100" w:beforeAutospacing="1" w:after="100" w:afterAutospacing="1"/>
        <w:textAlignment w:val="baseline"/>
        <w:rPr>
          <w:rFonts w:ascii="微软雅黑" w:eastAsia="微软雅黑" w:hAnsi="微软雅黑"/>
          <w:sz w:val="21"/>
          <w:szCs w:val="21"/>
        </w:rPr>
      </w:pPr>
      <w:r w:rsidRPr="003603D3">
        <w:rPr>
          <w:bCs/>
          <w:noProof/>
          <w:color w:val="0D0D0D" w:themeColor="text1" w:themeTint="F2"/>
          <w:szCs w:val="21"/>
        </w:rPr>
        <w:lastRenderedPageBreak/>
        <w:drawing>
          <wp:inline distT="0" distB="0" distL="114300" distR="114300" wp14:anchorId="0E8B033E" wp14:editId="7DCFA150">
            <wp:extent cx="5690549" cy="2965622"/>
            <wp:effectExtent l="0" t="0" r="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9"/>
                    <a:stretch>
                      <a:fillRect/>
                    </a:stretch>
                  </pic:blipFill>
                  <pic:spPr>
                    <a:xfrm>
                      <a:off x="0" y="0"/>
                      <a:ext cx="5723284" cy="2982682"/>
                    </a:xfrm>
                    <a:prstGeom prst="rect">
                      <a:avLst/>
                    </a:prstGeom>
                  </pic:spPr>
                </pic:pic>
              </a:graphicData>
            </a:graphic>
          </wp:inline>
        </w:drawing>
      </w:r>
    </w:p>
    <w:p w14:paraId="3F55A76A" w14:textId="36909A32" w:rsidR="003603D3" w:rsidRPr="005F5C93" w:rsidRDefault="003603D3" w:rsidP="007270CB">
      <w:pPr>
        <w:spacing w:before="100" w:beforeAutospacing="1" w:after="100" w:afterAutospacing="1"/>
        <w:textAlignment w:val="baseline"/>
        <w:rPr>
          <w:rFonts w:ascii="微软雅黑" w:eastAsia="微软雅黑" w:hAnsi="微软雅黑"/>
          <w:sz w:val="21"/>
          <w:szCs w:val="21"/>
        </w:rPr>
      </w:pPr>
      <w:r w:rsidRPr="003603D3">
        <w:rPr>
          <w:bCs/>
          <w:noProof/>
          <w:color w:val="0D0D0D" w:themeColor="text1" w:themeTint="F2"/>
          <w:szCs w:val="21"/>
        </w:rPr>
        <w:drawing>
          <wp:inline distT="0" distB="0" distL="114300" distR="114300" wp14:anchorId="65092F48" wp14:editId="2C67D3C5">
            <wp:extent cx="5691505" cy="2966085"/>
            <wp:effectExtent l="0" t="0" r="23495" b="571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0"/>
                    <a:stretch>
                      <a:fillRect/>
                    </a:stretch>
                  </pic:blipFill>
                  <pic:spPr>
                    <a:xfrm>
                      <a:off x="0" y="0"/>
                      <a:ext cx="5691505" cy="2966085"/>
                    </a:xfrm>
                    <a:prstGeom prst="rect">
                      <a:avLst/>
                    </a:prstGeom>
                  </pic:spPr>
                </pic:pic>
              </a:graphicData>
            </a:graphic>
          </wp:inline>
        </w:drawing>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2C413255" w14:textId="77777777" w:rsidR="003603D3" w:rsidRPr="003603D3" w:rsidRDefault="003603D3" w:rsidP="003603D3">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3603D3">
        <w:rPr>
          <w:rFonts w:ascii="微软雅黑" w:eastAsia="微软雅黑" w:hAnsi="微软雅黑" w:cs="宋体" w:hint="eastAsia"/>
          <w:bCs/>
          <w:color w:val="0D0D0D" w:themeColor="text1" w:themeTint="F2"/>
          <w:kern w:val="0"/>
          <w:szCs w:val="21"/>
        </w:rPr>
        <w:t>DELTA 2作为两年内主力销售的旗舰产品同时也是Ecoflow进行破圈传播的关键营销产品，目标通过本次传播触达到泛受众群体（25-65岁，中产收入家庭及泛女性受众）进行品类教育和品牌知名度提升，将品牌和产品推入主流市场，提升品类认知，成为大部分家庭常备的家电之一。如何利用核心创意去高效教育泛受众移动储能电源的产品使用场景和产品功能，同时又避免在泛受众中留下刻板印象成为主要挑战；对品牌而言，触达泛受众需要在较短时间摆脱垂类受众带来的思维局限并拓展新的媒介渠道，创作不同风格的内容创意也是本次营销过程中，需要解决的重要挑战。</w:t>
      </w:r>
    </w:p>
    <w:p w14:paraId="6D1EE97F" w14:textId="7FAF6A67" w:rsidR="005F5C93" w:rsidRPr="003603D3" w:rsidRDefault="00084F62" w:rsidP="007270CB">
      <w:pPr>
        <w:spacing w:before="100" w:beforeAutospacing="1" w:after="100" w:afterAutospacing="1"/>
        <w:textAlignment w:val="baseline"/>
        <w:rPr>
          <w:rFonts w:ascii="微软雅黑" w:eastAsia="微软雅黑" w:hAnsi="微软雅黑"/>
          <w:sz w:val="21"/>
          <w:szCs w:val="21"/>
        </w:rPr>
      </w:pPr>
      <w:r w:rsidRPr="00084F62">
        <w:rPr>
          <w:bCs/>
          <w:noProof/>
          <w:color w:val="0D0D0D" w:themeColor="text1" w:themeTint="F2"/>
          <w:szCs w:val="21"/>
        </w:rPr>
        <w:lastRenderedPageBreak/>
        <w:drawing>
          <wp:inline distT="0" distB="0" distL="114300" distR="114300" wp14:anchorId="0791FA04" wp14:editId="06312407">
            <wp:extent cx="5678170" cy="2959100"/>
            <wp:effectExtent l="0" t="0" r="11430" b="1270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1"/>
                    <a:stretch>
                      <a:fillRect/>
                    </a:stretch>
                  </pic:blipFill>
                  <pic:spPr>
                    <a:xfrm>
                      <a:off x="0" y="0"/>
                      <a:ext cx="5678170" cy="2959100"/>
                    </a:xfrm>
                    <a:prstGeom prst="rect">
                      <a:avLst/>
                    </a:prstGeom>
                  </pic:spPr>
                </pic:pic>
              </a:graphicData>
            </a:graphic>
          </wp:inline>
        </w:drawing>
      </w:r>
    </w:p>
    <w:p w14:paraId="40607E58" w14:textId="1AE977FE"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BDCF717"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
          <w:color w:val="0D0D0D" w:themeColor="text1" w:themeTint="F2"/>
          <w:kern w:val="0"/>
          <w:szCs w:val="21"/>
        </w:rPr>
      </w:pPr>
      <w:r w:rsidRPr="00084F62">
        <w:rPr>
          <w:rFonts w:ascii="微软雅黑" w:eastAsia="微软雅黑" w:hAnsi="微软雅黑" w:cs="宋体"/>
          <w:b/>
          <w:color w:val="0D0D0D" w:themeColor="text1" w:themeTint="F2"/>
          <w:kern w:val="0"/>
          <w:szCs w:val="21"/>
        </w:rPr>
        <w:t>市场环境：</w:t>
      </w:r>
    </w:p>
    <w:p w14:paraId="4700132F"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满足本次营销活动的泛受众整体人口情况为3.12亿人口（*包含美国、英国、德国、法国、日本、澳大利亚、韩国）。在本次营销项目中，营销目标为至少触达到泛受众人口中的1/10，即3120万人口。大范围受众：从未听说过或不熟悉移动储能电源产品的人，家用电器的决策者。</w:t>
      </w:r>
    </w:p>
    <w:p w14:paraId="68ECC624"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w:t>
      </w:r>
      <w:r w:rsidRPr="00084F62">
        <w:rPr>
          <w:rFonts w:ascii="微软雅黑" w:eastAsia="微软雅黑" w:hAnsi="微软雅黑" w:cs="宋体"/>
          <w:bCs/>
          <w:color w:val="0D0D0D" w:themeColor="text1" w:themeTint="F2"/>
          <w:kern w:val="0"/>
          <w:szCs w:val="21"/>
        </w:rPr>
        <w:tab/>
        <w:t>人口统计学：30岁以上，男性和女性</w:t>
      </w:r>
    </w:p>
    <w:p w14:paraId="5E7A4BA3"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线上渠道可以接触到其中的10%，其他渠道可以接触到其余的90%。</w:t>
      </w:r>
    </w:p>
    <w:p w14:paraId="6E05E78E" w14:textId="647848A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w:t>
      </w:r>
      <w:r w:rsidRPr="00084F62">
        <w:rPr>
          <w:rFonts w:ascii="微软雅黑" w:eastAsia="微软雅黑" w:hAnsi="微软雅黑" w:cs="宋体"/>
          <w:bCs/>
          <w:color w:val="0D0D0D" w:themeColor="text1" w:themeTint="F2"/>
          <w:kern w:val="0"/>
          <w:szCs w:val="21"/>
        </w:rPr>
        <w:tab/>
        <w:t>主要受众人群画像：从未听说过或不熟悉移动储能电源产品的人，家用电器的决策者，30岁以上，男性和女性。</w:t>
      </w:r>
    </w:p>
    <w:p w14:paraId="73912752"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
          <w:color w:val="0D0D0D" w:themeColor="text1" w:themeTint="F2"/>
          <w:kern w:val="0"/>
          <w:szCs w:val="21"/>
        </w:rPr>
      </w:pPr>
      <w:r w:rsidRPr="00084F62">
        <w:rPr>
          <w:rFonts w:ascii="微软雅黑" w:eastAsia="微软雅黑" w:hAnsi="微软雅黑" w:cs="宋体"/>
          <w:b/>
          <w:color w:val="0D0D0D" w:themeColor="text1" w:themeTint="F2"/>
          <w:kern w:val="0"/>
          <w:szCs w:val="21"/>
        </w:rPr>
        <w:t>市场洞察和策略 — 人群行为习惯：</w:t>
      </w:r>
    </w:p>
    <w:p w14:paraId="229E74FE"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1、知道有些事情是无法控制的。这类人群选择购买保险性物品是因为他们知道一些危险可能会随时发生，且他们无法控制事态的发展。因此他们习惯始终做好万全之策，提前预想到所有最坏的可能性。</w:t>
      </w:r>
    </w:p>
    <w:p w14:paraId="33FB0605"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2、对停电场景比较熟悉。他们有过多次停电的经历，所以他们习惯提前做好准备。</w:t>
      </w:r>
    </w:p>
    <w:p w14:paraId="4022CE2D"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3、本身具有强烈的自我保护意识。比如他们不会允许自己的孩子不戴头盔去骑车，这类人群愿意去投资一些可以加强家庭安全保护的产品，以确保自己及家人的安全。</w:t>
      </w:r>
    </w:p>
    <w:p w14:paraId="124C5E74"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4、享受在大自然中和家人一起出游。当孩子们放暑假的时候，他们喜欢和家人一起进行户外活动。他们每年夏天都会进行家庭露营。</w:t>
      </w:r>
    </w:p>
    <w:p w14:paraId="16D05445"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5、乐于与邻居进行社交活动。他们喜欢去街区或在当地公园参加聚会，在那里可以和邻居们聚在一起，进行社交活动。</w:t>
      </w:r>
    </w:p>
    <w:p w14:paraId="44B717F5" w14:textId="75881C5C"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lastRenderedPageBreak/>
        <w:t>6、想成为一个乐于助人的邻居。当邻居需要帮助时，他们总是希望自己可以有能力为对方出援手。</w:t>
      </w:r>
    </w:p>
    <w:p w14:paraId="3F1EE866"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
          <w:color w:val="0D0D0D" w:themeColor="text1" w:themeTint="F2"/>
          <w:kern w:val="0"/>
          <w:szCs w:val="21"/>
        </w:rPr>
      </w:pPr>
      <w:r w:rsidRPr="00084F62">
        <w:rPr>
          <w:rFonts w:ascii="微软雅黑" w:eastAsia="微软雅黑" w:hAnsi="微软雅黑" w:cs="宋体"/>
          <w:b/>
          <w:color w:val="0D0D0D" w:themeColor="text1" w:themeTint="F2"/>
          <w:kern w:val="0"/>
          <w:szCs w:val="21"/>
        </w:rPr>
        <w:t>目标人群在该品类的消费心理洞察：</w:t>
      </w:r>
    </w:p>
    <w:p w14:paraId="1FC65518"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 房主的行为洞察</w:t>
      </w:r>
    </w:p>
    <w:p w14:paraId="16BB2A80" w14:textId="5E1C39AC"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与安全相关的行为：本能的自我保护、知道有些事情是他们无法控制的、对停电情况比较熟悉</w:t>
      </w:r>
      <w:r w:rsidR="0017031E">
        <w:rPr>
          <w:rFonts w:ascii="微软雅黑" w:eastAsia="微软雅黑" w:hAnsi="微软雅黑" w:cs="宋体" w:hint="eastAsia"/>
          <w:bCs/>
          <w:color w:val="0D0D0D" w:themeColor="text1" w:themeTint="F2"/>
          <w:kern w:val="0"/>
          <w:szCs w:val="21"/>
        </w:rPr>
        <w:t>。</w:t>
      </w:r>
    </w:p>
    <w:p w14:paraId="0F900F12" w14:textId="55815810"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与社交相关的行为：享受在大自然中的家人出游、与邻居进行社交、为邻居提供帮助</w:t>
      </w:r>
      <w:r w:rsidR="0017031E">
        <w:rPr>
          <w:rFonts w:ascii="微软雅黑" w:eastAsia="微软雅黑" w:hAnsi="微软雅黑" w:cs="宋体" w:hint="eastAsia"/>
          <w:bCs/>
          <w:color w:val="0D0D0D" w:themeColor="text1" w:themeTint="F2"/>
          <w:kern w:val="0"/>
          <w:szCs w:val="21"/>
        </w:rPr>
        <w:t>。</w:t>
      </w:r>
    </w:p>
    <w:p w14:paraId="249EE647"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 ECOFLOW DELTA 2的价值主张</w:t>
      </w:r>
    </w:p>
    <w:p w14:paraId="7EF5093B" w14:textId="1BD50083"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为您的家庭增加一份保护、控制住最坏的情况、当电力系统发生故障时保持持续的供电</w:t>
      </w:r>
      <w:r w:rsidR="0017031E">
        <w:rPr>
          <w:rFonts w:ascii="微软雅黑" w:eastAsia="微软雅黑" w:hAnsi="微软雅黑" w:cs="宋体" w:hint="eastAsia"/>
          <w:bCs/>
          <w:color w:val="0D0D0D" w:themeColor="text1" w:themeTint="F2"/>
          <w:kern w:val="0"/>
          <w:szCs w:val="21"/>
        </w:rPr>
        <w:t>。</w:t>
      </w:r>
    </w:p>
    <w:p w14:paraId="46B14D1A" w14:textId="6DA2DBBE" w:rsid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为您的家庭在户外活动中带来更多的便利和舒适、为邻里之间的聚会增加更多活力、为那些需要帮助的邻居提供帮助</w:t>
      </w:r>
      <w:r w:rsidR="0017031E">
        <w:rPr>
          <w:rFonts w:ascii="微软雅黑" w:eastAsia="微软雅黑" w:hAnsi="微软雅黑" w:cs="宋体" w:hint="eastAsia"/>
          <w:bCs/>
          <w:color w:val="0D0D0D" w:themeColor="text1" w:themeTint="F2"/>
          <w:kern w:val="0"/>
          <w:szCs w:val="21"/>
        </w:rPr>
        <w:t>。</w:t>
      </w:r>
    </w:p>
    <w:p w14:paraId="0C188C3C" w14:textId="77777777" w:rsidR="00084F62" w:rsidRPr="00084F62" w:rsidRDefault="00084F62" w:rsidP="00084F62">
      <w:pPr>
        <w:pStyle w:val="10"/>
        <w:spacing w:line="460" w:lineRule="exact"/>
        <w:ind w:firstLineChars="0" w:firstLine="0"/>
        <w:textAlignment w:val="baseline"/>
        <w:rPr>
          <w:rFonts w:ascii="微软雅黑" w:eastAsia="微软雅黑" w:hAnsi="微软雅黑" w:cs="宋体"/>
          <w:b/>
          <w:color w:val="0D0D0D" w:themeColor="text1" w:themeTint="F2"/>
          <w:kern w:val="0"/>
          <w:szCs w:val="21"/>
        </w:rPr>
      </w:pPr>
      <w:r w:rsidRPr="00084F62">
        <w:rPr>
          <w:rFonts w:ascii="微软雅黑" w:eastAsia="微软雅黑" w:hAnsi="微软雅黑" w:cs="宋体"/>
          <w:b/>
          <w:color w:val="0D0D0D" w:themeColor="text1" w:themeTint="F2"/>
          <w:kern w:val="0"/>
          <w:szCs w:val="21"/>
        </w:rPr>
        <w:t>核心创意内容：</w:t>
      </w:r>
    </w:p>
    <w:p w14:paraId="0B6BA16F" w14:textId="4DB90CB2" w:rsidR="00084F62" w:rsidRPr="00084F62" w:rsidRDefault="00084F62" w:rsidP="00084F62">
      <w:pPr>
        <w:pStyle w:val="10"/>
        <w:spacing w:line="460" w:lineRule="exact"/>
        <w:ind w:firstLineChars="0" w:firstLine="0"/>
        <w:textAlignment w:val="baseline"/>
        <w:rPr>
          <w:rFonts w:ascii="微软雅黑" w:eastAsia="微软雅黑" w:hAnsi="微软雅黑" w:cs="宋体"/>
          <w:bCs/>
          <w:color w:val="0D0D0D" w:themeColor="text1" w:themeTint="F2"/>
          <w:kern w:val="0"/>
          <w:szCs w:val="21"/>
        </w:rPr>
      </w:pPr>
      <w:r w:rsidRPr="00084F62">
        <w:rPr>
          <w:rFonts w:ascii="微软雅黑" w:eastAsia="微软雅黑" w:hAnsi="微软雅黑" w:cs="宋体"/>
          <w:bCs/>
          <w:color w:val="0D0D0D" w:themeColor="text1" w:themeTint="F2"/>
          <w:kern w:val="0"/>
          <w:szCs w:val="21"/>
        </w:rPr>
        <w:t>综合以上洞察发现，泛受众对与该品类的认知和使用场景较为分散，在常用的充电场景外搭配不同的外接设备可做到使用上的延展。做为品牌S级的重点营销项目，本次营销中应该鼓励受众去发散思维，自由去拓展并挖掘自身对于移动储能电源的需求，因次本次营销项目的核心传播信息为“Not Just A Battery”--不仅仅是一个电源。</w:t>
      </w:r>
    </w:p>
    <w:p w14:paraId="5293AC13" w14:textId="366528C6" w:rsidR="007A4E3A" w:rsidRPr="005F5C93" w:rsidRDefault="00084F62" w:rsidP="00084F62">
      <w:pPr>
        <w:spacing w:before="100" w:beforeAutospacing="1" w:after="100" w:afterAutospacing="1"/>
        <w:jc w:val="center"/>
        <w:textAlignment w:val="baseline"/>
        <w:rPr>
          <w:rFonts w:ascii="微软雅黑" w:eastAsia="微软雅黑" w:hAnsi="微软雅黑"/>
          <w:sz w:val="21"/>
          <w:szCs w:val="21"/>
        </w:rPr>
      </w:pPr>
      <w:r w:rsidRPr="00084F62">
        <w:rPr>
          <w:bCs/>
          <w:noProof/>
          <w:color w:val="0D0D0D" w:themeColor="text1" w:themeTint="F2"/>
          <w:szCs w:val="21"/>
        </w:rPr>
        <w:lastRenderedPageBreak/>
        <w:drawing>
          <wp:inline distT="0" distB="0" distL="114300" distR="114300" wp14:anchorId="61D9FA23" wp14:editId="2654588A">
            <wp:extent cx="5177481" cy="6471848"/>
            <wp:effectExtent l="0" t="0" r="0" b="0"/>
            <wp:docPr id="12" name="图片 12" descr="WechatIM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1652"/>
                    <pic:cNvPicPr>
                      <a:picLocks noChangeAspect="1"/>
                    </pic:cNvPicPr>
                  </pic:nvPicPr>
                  <pic:blipFill>
                    <a:blip r:embed="rId12"/>
                    <a:stretch>
                      <a:fillRect/>
                    </a:stretch>
                  </pic:blipFill>
                  <pic:spPr>
                    <a:xfrm>
                      <a:off x="0" y="0"/>
                      <a:ext cx="5202070" cy="6502584"/>
                    </a:xfrm>
                    <a:prstGeom prst="rect">
                      <a:avLst/>
                    </a:prstGeom>
                  </pic:spPr>
                </pic:pic>
              </a:graphicData>
            </a:graphic>
          </wp:inline>
        </w:drawing>
      </w:r>
    </w:p>
    <w:p w14:paraId="6DDA3AE3" w14:textId="6BA48356" w:rsidR="00893EBA" w:rsidRDefault="00893EBA" w:rsidP="007270CB">
      <w:pPr>
        <w:spacing w:before="100" w:beforeAutospacing="1" w:after="100" w:afterAutospacing="1"/>
        <w:textAlignment w:val="baseline"/>
        <w:rPr>
          <w:rFonts w:ascii="微软雅黑" w:eastAsia="微软雅黑" w:hAnsi="微软雅黑"/>
          <w:b/>
          <w:color w:val="C79E5B"/>
          <w:sz w:val="28"/>
        </w:rPr>
      </w:pPr>
      <w:r>
        <w:rPr>
          <w:b/>
          <w:bCs/>
          <w:noProof/>
        </w:rPr>
        <w:lastRenderedPageBreak/>
        <w:drawing>
          <wp:inline distT="0" distB="0" distL="114300" distR="114300" wp14:anchorId="5E193DCF" wp14:editId="36E95EBA">
            <wp:extent cx="5706110" cy="2732405"/>
            <wp:effectExtent l="0" t="0" r="8890" b="10795"/>
            <wp:docPr id="8" name="图片 8" descr="/private/var/folders/tv/yts4hwbx61db9w3sglz7rprh0000gn/T/com.kingsoft.wpsoffice.mac/picturecompress_2022112213073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folders/tv/yts4hwbx61db9w3sglz7rprh0000gn/T/com.kingsoft.wpsoffice.mac/picturecompress_20221122130735/output_1.pngoutput_1"/>
                    <pic:cNvPicPr>
                      <a:picLocks noChangeAspect="1"/>
                    </pic:cNvPicPr>
                  </pic:nvPicPr>
                  <pic:blipFill>
                    <a:blip r:embed="rId13"/>
                    <a:stretch>
                      <a:fillRect/>
                    </a:stretch>
                  </pic:blipFill>
                  <pic:spPr>
                    <a:xfrm>
                      <a:off x="0" y="0"/>
                      <a:ext cx="5706110" cy="2732405"/>
                    </a:xfrm>
                    <a:prstGeom prst="rect">
                      <a:avLst/>
                    </a:prstGeom>
                  </pic:spPr>
                </pic:pic>
              </a:graphicData>
            </a:graphic>
          </wp:inline>
        </w:drawing>
      </w:r>
    </w:p>
    <w:p w14:paraId="5520F520" w14:textId="351EF9D3" w:rsidR="000C61C6" w:rsidRPr="0017031E" w:rsidRDefault="00827A1F" w:rsidP="007270CB">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插入视频</w:t>
      </w:r>
      <w:r w:rsidR="004D702D">
        <w:rPr>
          <w:rFonts w:ascii="微软雅黑" w:eastAsia="微软雅黑" w:hAnsi="微软雅黑" w:hint="eastAsia"/>
          <w:b/>
          <w:color w:val="C79E5B"/>
          <w:sz w:val="28"/>
        </w:rPr>
        <w:t>：</w:t>
      </w:r>
      <w:r>
        <w:rPr>
          <w:b/>
          <w:bCs/>
          <w:noProof/>
        </w:rPr>
        <w:drawing>
          <wp:inline distT="0" distB="0" distL="0" distR="0" wp14:anchorId="6C1004D9" wp14:editId="12A289DD">
            <wp:extent cx="5720715" cy="30035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ovie::/Users/apple/Desktop/金鼠标/ECOFLOW DELTA 2新品上市案例/案例视频-ECO flow Delta 2.mov"/>
                    <pic:cNvPicPr/>
                  </pic:nvPicPr>
                  <pic:blipFill>
                    <a:blip r:embed="rId14">
                      <a:extLst>
                        <a:ext uri="{28A0092B-C50C-407E-A947-70E740481C1C}">
                          <a14:useLocalDpi xmlns:a14="http://schemas.microsoft.com/office/drawing/2010/main" val="0"/>
                        </a:ext>
                      </a:extLst>
                    </a:blip>
                    <a:stretch>
                      <a:fillRect/>
                    </a:stretch>
                  </pic:blipFill>
                  <pic:spPr>
                    <a:xfrm>
                      <a:off x="0" y="0"/>
                      <a:ext cx="5720715" cy="3003550"/>
                    </a:xfrm>
                    <a:prstGeom prst="rect">
                      <a:avLst/>
                    </a:prstGeom>
                  </pic:spPr>
                </pic:pic>
              </a:graphicData>
            </a:graphic>
          </wp:inline>
        </w:drawing>
      </w:r>
    </w:p>
    <w:p w14:paraId="1FD236D6" w14:textId="4E768535" w:rsidR="00827A1F" w:rsidRPr="0017031E" w:rsidRDefault="00827A1F" w:rsidP="007270CB">
      <w:pPr>
        <w:spacing w:before="100" w:beforeAutospacing="1" w:after="100" w:afterAutospacing="1"/>
        <w:textAlignment w:val="baseline"/>
        <w:rPr>
          <w:rFonts w:ascii="微软雅黑" w:eastAsia="微软雅黑" w:hAnsi="微软雅黑"/>
          <w:bCs/>
          <w:color w:val="000000" w:themeColor="text1"/>
          <w:szCs w:val="22"/>
        </w:rPr>
      </w:pPr>
      <w:r w:rsidRPr="00827A1F">
        <w:rPr>
          <w:rFonts w:ascii="微软雅黑" w:eastAsia="微软雅黑" w:hAnsi="微软雅黑" w:hint="eastAsia"/>
          <w:bCs/>
          <w:color w:val="000000" w:themeColor="text1"/>
          <w:szCs w:val="22"/>
        </w:rPr>
        <w:t>视频链接：</w:t>
      </w:r>
      <w:hyperlink r:id="rId15" w:history="1">
        <w:r w:rsidR="004D702D" w:rsidRPr="006C511B">
          <w:rPr>
            <w:rStyle w:val="a5"/>
            <w:rFonts w:ascii="微软雅黑" w:eastAsia="微软雅黑" w:hAnsi="微软雅黑"/>
            <w:bCs/>
            <w:szCs w:val="22"/>
          </w:rPr>
          <w:t>https://v.qq.com/x/page/m3369du7d31.html</w:t>
        </w:r>
      </w:hyperlink>
      <w:r w:rsidR="004D702D">
        <w:rPr>
          <w:rFonts w:ascii="微软雅黑" w:eastAsia="微软雅黑" w:hAnsi="微软雅黑"/>
          <w:bCs/>
          <w:color w:val="000000" w:themeColor="text1"/>
          <w:szCs w:val="22"/>
        </w:rPr>
        <w:t xml:space="preserve"> </w:t>
      </w:r>
    </w:p>
    <w:p w14:paraId="0413AEA7" w14:textId="681200DC"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7FA7FB95" w14:textId="0EC9DDF6"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Creative Content为内容基础，配合以</w:t>
      </w:r>
      <w:r w:rsidRPr="00893EBA">
        <w:rPr>
          <w:rFonts w:ascii="微软雅黑" w:eastAsia="微软雅黑" w:hAnsi="微软雅黑"/>
          <w:b/>
          <w:bCs/>
          <w:sz w:val="21"/>
          <w:szCs w:val="21"/>
        </w:rPr>
        <w:t>媒体投放 + 社交媒体运营（content+UGC）+ 红人营销</w:t>
      </w:r>
      <w:r w:rsidRPr="00893EBA">
        <w:rPr>
          <w:rFonts w:ascii="微软雅黑" w:eastAsia="微软雅黑" w:hAnsi="微软雅黑"/>
          <w:sz w:val="21"/>
          <w:szCs w:val="21"/>
        </w:rPr>
        <w:t>为主，传播“Not Just a Battery”概念。</w:t>
      </w:r>
    </w:p>
    <w:p w14:paraId="6A6B87AD" w14:textId="77777777" w:rsidR="00893EBA" w:rsidRPr="00893EBA" w:rsidRDefault="00893EBA" w:rsidP="00893EBA">
      <w:pPr>
        <w:spacing w:before="100" w:beforeAutospacing="1" w:after="100" w:afterAutospacing="1"/>
        <w:textAlignment w:val="baseline"/>
        <w:rPr>
          <w:rFonts w:ascii="微软雅黑" w:eastAsia="微软雅黑" w:hAnsi="微软雅黑"/>
          <w:b/>
          <w:bCs/>
          <w:sz w:val="21"/>
          <w:szCs w:val="21"/>
        </w:rPr>
      </w:pPr>
      <w:r w:rsidRPr="00893EBA">
        <w:rPr>
          <w:rFonts w:ascii="微软雅黑" w:eastAsia="微软雅黑" w:hAnsi="微软雅黑"/>
          <w:b/>
          <w:bCs/>
          <w:sz w:val="21"/>
          <w:szCs w:val="21"/>
        </w:rPr>
        <w:t>在平台和渠道的选择上：</w:t>
      </w:r>
    </w:p>
    <w:p w14:paraId="3A40DE20" w14:textId="77777777"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预热期（8.26-9.1）；第一阶段Launch期（9.2-9.15）；第二阶段Launch期（9.16-11.2）</w:t>
      </w:r>
    </w:p>
    <w:p w14:paraId="65964924" w14:textId="77777777"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  Event：9.2 IFA（德国）产品发布</w:t>
      </w:r>
    </w:p>
    <w:p w14:paraId="5180C9E9" w14:textId="77777777"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lastRenderedPageBreak/>
        <w:t>•  EDM：在第一阶段Launch期进行产品发布（带优惠券促销）、功能发布（带优惠券促销）、产品比较（VS Delta，带优惠券促销）、用户故事发布</w:t>
      </w:r>
    </w:p>
    <w:p w14:paraId="54CED5B2" w14:textId="77777777"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  Community：前期预热，在第一阶段Launch期进行产品发布（带优惠券促销）、功能发布（带优惠券促销）、产品比较（VS Delta，带优惠券促销）、社媒集锦；第二阶段Launch期产品到仓内容、社媒集锦</w:t>
      </w:r>
    </w:p>
    <w:p w14:paraId="1DE8F6A4" w14:textId="77777777"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  PR：第一阶段Launch期发布新闻稿：earned：北美15覆盖率；欧洲15覆盖率；第二阶段Launch期Always-on（earned）：北美8次发出/月，欧洲8次发出/月</w:t>
      </w:r>
    </w:p>
    <w:p w14:paraId="1132A0FD" w14:textId="77777777"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  KOL：第二阶段Launch期：北美80个KOL视频：垂直领域（30）家庭（20）生活方式（10）家用电器（20）；欧洲50个KOL视频，英国（15），重点在垂直领域，法国（15）德国（20）</w:t>
      </w:r>
    </w:p>
    <w:p w14:paraId="5E56D416" w14:textId="77777777"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  Social media：前期项目预热，第一阶段Launch期发布文章（带优惠券促销），；第二阶段Launch期发布文章，社媒集锦</w:t>
      </w:r>
    </w:p>
    <w:p w14:paraId="3F8CEF3A" w14:textId="62831F1E" w:rsidR="00893EBA" w:rsidRPr="00893EBA" w:rsidRDefault="00893EBA" w:rsidP="00893EBA">
      <w:pPr>
        <w:spacing w:before="100" w:beforeAutospacing="1" w:after="100" w:afterAutospacing="1"/>
        <w:textAlignment w:val="baseline"/>
        <w:rPr>
          <w:rFonts w:ascii="微软雅黑" w:eastAsia="微软雅黑" w:hAnsi="微软雅黑"/>
          <w:sz w:val="21"/>
          <w:szCs w:val="21"/>
        </w:rPr>
      </w:pPr>
      <w:r w:rsidRPr="00893EBA">
        <w:rPr>
          <w:rFonts w:ascii="微软雅黑" w:eastAsia="微软雅黑" w:hAnsi="微软雅黑"/>
          <w:sz w:val="21"/>
          <w:szCs w:val="21"/>
        </w:rPr>
        <w:t>•  Ads：预热期重心在社交媒体和数字化广告渠道进行品类教育，Launch期出线上广告外在户外广告，活动赞助上均有针对品牌声量提升的投入计划</w:t>
      </w:r>
      <w:r>
        <w:rPr>
          <w:b/>
          <w:noProof/>
          <w:color w:val="0D0D0D" w:themeColor="text1" w:themeTint="F2"/>
          <w:szCs w:val="21"/>
        </w:rPr>
        <w:drawing>
          <wp:anchor distT="0" distB="0" distL="114300" distR="114300" simplePos="0" relativeHeight="251659264" behindDoc="1" locked="0" layoutInCell="1" allowOverlap="1" wp14:anchorId="1914EA07" wp14:editId="5262CA13">
            <wp:simplePos x="0" y="0"/>
            <wp:positionH relativeFrom="column">
              <wp:posOffset>0</wp:posOffset>
            </wp:positionH>
            <wp:positionV relativeFrom="paragraph">
              <wp:posOffset>407670</wp:posOffset>
            </wp:positionV>
            <wp:extent cx="5711190" cy="3361055"/>
            <wp:effectExtent l="0" t="0" r="3810" b="17145"/>
            <wp:wrapThrough wrapText="bothSides">
              <wp:wrapPolygon edited="0">
                <wp:start x="0" y="0"/>
                <wp:lineTo x="0" y="21384"/>
                <wp:lineTo x="21518" y="21384"/>
                <wp:lineTo x="21518" y="0"/>
                <wp:lineTo x="0" y="0"/>
              </wp:wrapPolygon>
            </wp:wrapThrough>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16"/>
                    <a:stretch>
                      <a:fillRect/>
                    </a:stretch>
                  </pic:blipFill>
                  <pic:spPr>
                    <a:xfrm>
                      <a:off x="0" y="0"/>
                      <a:ext cx="5711190" cy="3361055"/>
                    </a:xfrm>
                    <a:prstGeom prst="rect">
                      <a:avLst/>
                    </a:prstGeom>
                  </pic:spPr>
                </pic:pic>
              </a:graphicData>
            </a:graphic>
          </wp:anchor>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31A4A6B8"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Cs w:val="21"/>
        </w:rPr>
      </w:pPr>
      <w:r w:rsidRPr="00CC4D01">
        <w:rPr>
          <w:rFonts w:ascii="微软雅黑" w:eastAsia="微软雅黑" w:hAnsi="微软雅黑" w:cs="Times New Roman" w:hint="eastAsia"/>
          <w:b/>
          <w:color w:val="0D0D0D" w:themeColor="text1" w:themeTint="F2"/>
          <w:szCs w:val="21"/>
        </w:rPr>
        <w:t>一、声量</w:t>
      </w:r>
    </w:p>
    <w:p w14:paraId="149CAD93" w14:textId="77777777" w:rsidR="00893EBA" w:rsidRPr="00CC4D01" w:rsidRDefault="00893EBA" w:rsidP="00CC4D01">
      <w:pPr>
        <w:spacing w:before="100" w:beforeAutospacing="1" w:after="100" w:afterAutospacing="1"/>
        <w:textAlignment w:val="baseline"/>
        <w:rPr>
          <w:rFonts w:ascii="微软雅黑" w:eastAsia="微软雅黑" w:hAnsi="微软雅黑"/>
          <w:sz w:val="21"/>
          <w:szCs w:val="21"/>
        </w:rPr>
      </w:pPr>
      <w:r w:rsidRPr="00CC4D01">
        <w:rPr>
          <w:rFonts w:ascii="微软雅黑" w:eastAsia="微软雅黑" w:hAnsi="微软雅黑" w:hint="eastAsia"/>
          <w:bCs/>
          <w:color w:val="0D0D0D" w:themeColor="text1" w:themeTint="F2"/>
          <w:szCs w:val="21"/>
        </w:rPr>
        <w:t>• G</w:t>
      </w:r>
      <w:r w:rsidRPr="00CC4D01">
        <w:rPr>
          <w:rFonts w:ascii="微软雅黑" w:eastAsia="微软雅黑" w:hAnsi="微软雅黑" w:hint="eastAsia"/>
          <w:sz w:val="21"/>
          <w:szCs w:val="21"/>
        </w:rPr>
        <w:t>oogle Trends搜索趋势</w:t>
      </w:r>
    </w:p>
    <w:p w14:paraId="59BB93E0" w14:textId="77777777" w:rsidR="00893EBA" w:rsidRPr="00CC4D01" w:rsidRDefault="00893EBA" w:rsidP="00CC4D01">
      <w:pPr>
        <w:spacing w:before="100" w:beforeAutospacing="1" w:after="100" w:afterAutospacing="1"/>
        <w:textAlignment w:val="baseline"/>
        <w:rPr>
          <w:rFonts w:ascii="微软雅黑" w:eastAsia="微软雅黑" w:hAnsi="微软雅黑"/>
          <w:sz w:val="21"/>
          <w:szCs w:val="21"/>
        </w:rPr>
      </w:pPr>
      <w:r w:rsidRPr="00CC4D01">
        <w:rPr>
          <w:rFonts w:ascii="微软雅黑" w:eastAsia="微软雅黑" w:hAnsi="微软雅黑" w:hint="eastAsia"/>
          <w:sz w:val="21"/>
          <w:szCs w:val="21"/>
        </w:rPr>
        <w:lastRenderedPageBreak/>
        <w:t>1）Ecoflow品牌搜索指数在上市后增长近2倍；</w:t>
      </w:r>
    </w:p>
    <w:p w14:paraId="0027C58A" w14:textId="30BA08F9" w:rsidR="00893EBA" w:rsidRPr="00CC4D01" w:rsidRDefault="00893EBA" w:rsidP="00CC4D01">
      <w:pPr>
        <w:spacing w:before="100" w:beforeAutospacing="1" w:after="100" w:afterAutospacing="1"/>
        <w:textAlignment w:val="baseline"/>
        <w:rPr>
          <w:rFonts w:ascii="微软雅黑" w:eastAsia="微软雅黑" w:hAnsi="微软雅黑"/>
          <w:sz w:val="21"/>
          <w:szCs w:val="21"/>
        </w:rPr>
      </w:pPr>
      <w:r w:rsidRPr="00CC4D01">
        <w:rPr>
          <w:rFonts w:ascii="微软雅黑" w:eastAsia="微软雅黑" w:hAnsi="微软雅黑" w:hint="eastAsia"/>
          <w:sz w:val="21"/>
          <w:szCs w:val="21"/>
        </w:rPr>
        <w:t>2）EcoFlow品牌搜索指数在campaign开始之后已经超过Jackery品牌词，产品词远高于竞品并差距持续拉大，发布初期甚至一度超过竞品品牌词；</w:t>
      </w:r>
    </w:p>
    <w:p w14:paraId="10D1E6FF" w14:textId="77777777" w:rsidR="00893EBA" w:rsidRPr="00CC4D01" w:rsidRDefault="00893EBA" w:rsidP="00CC4D01">
      <w:pPr>
        <w:spacing w:before="100" w:beforeAutospacing="1" w:after="100" w:afterAutospacing="1"/>
        <w:textAlignment w:val="baseline"/>
        <w:rPr>
          <w:rFonts w:ascii="微软雅黑" w:eastAsia="微软雅黑" w:hAnsi="微软雅黑"/>
          <w:sz w:val="21"/>
          <w:szCs w:val="21"/>
        </w:rPr>
      </w:pPr>
      <w:r w:rsidRPr="00CC4D01">
        <w:rPr>
          <w:rFonts w:ascii="微软雅黑" w:eastAsia="微软雅黑" w:hAnsi="微软雅黑" w:hint="eastAsia"/>
          <w:sz w:val="21"/>
          <w:szCs w:val="21"/>
        </w:rPr>
        <w:t>• Google Search Console: organic search趋势</w:t>
      </w:r>
    </w:p>
    <w:p w14:paraId="51C1F325" w14:textId="6C68BDFD" w:rsidR="00893EBA" w:rsidRPr="00CC4D01" w:rsidRDefault="00893EBA" w:rsidP="00CC4D01">
      <w:pPr>
        <w:spacing w:before="100" w:beforeAutospacing="1" w:after="100" w:afterAutospacing="1"/>
        <w:textAlignment w:val="baseline"/>
        <w:rPr>
          <w:rFonts w:ascii="微软雅黑" w:eastAsia="微软雅黑" w:hAnsi="微软雅黑"/>
          <w:sz w:val="21"/>
          <w:szCs w:val="21"/>
        </w:rPr>
      </w:pPr>
      <w:r w:rsidRPr="00CC4D01">
        <w:rPr>
          <w:rFonts w:ascii="微软雅黑" w:eastAsia="微软雅黑" w:hAnsi="微软雅黑" w:hint="eastAsia"/>
          <w:sz w:val="21"/>
          <w:szCs w:val="21"/>
        </w:rPr>
        <w:t>搜索EcoFlow品牌词和DELTA词来到官网的organic clicks呈上升趋势，为全年最高水平</w:t>
      </w:r>
    </w:p>
    <w:p w14:paraId="24319307" w14:textId="2B474B5C"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Pr>
          <w:rFonts w:cs="Times New Roman" w:hint="eastAsia"/>
          <w:bCs/>
          <w:color w:val="0D0D0D" w:themeColor="text1" w:themeTint="F2"/>
          <w:szCs w:val="21"/>
        </w:rPr>
        <w:t xml:space="preserve">• </w:t>
      </w:r>
      <w:r w:rsidRPr="00CC4D01">
        <w:rPr>
          <w:rFonts w:ascii="微软雅黑" w:eastAsia="微软雅黑" w:hAnsi="微软雅黑" w:cs="Times New Roman" w:hint="eastAsia"/>
          <w:bCs/>
          <w:color w:val="0D0D0D" w:themeColor="text1" w:themeTint="F2"/>
          <w:sz w:val="21"/>
          <w:szCs w:val="21"/>
        </w:rPr>
        <w:t>Brand Awareness提升</w:t>
      </w:r>
    </w:p>
    <w:p w14:paraId="2FD0E502" w14:textId="4DB2586F" w:rsidR="00893EBA" w:rsidRPr="0017031E"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EcoFlow 品牌词的search volume在9月发布期达到历史峰值</w:t>
      </w:r>
    </w:p>
    <w:p w14:paraId="7BEE53E4"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t>二、销量</w:t>
      </w:r>
    </w:p>
    <w:p w14:paraId="01154DB0"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 欧美DELTA 2首销销售额（9.16-10.16）两千万美金，售出近2万台，是EcoFlow目前销售额最高的新品。</w:t>
      </w:r>
    </w:p>
    <w:p w14:paraId="29521628"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 开售3小时夺得欧洲Amazon Best Seller; 德国获得Outdoor Generator大类#1 &amp; 户外电源行业首次获得Garden大类#1，刷新EcoFlow 新品首发一小时纪录(1000+pcs); 法国和英国获得Outdoor Generator大类#1；美国获得Outdoor Generator大类#3</w:t>
      </w:r>
    </w:p>
    <w:p w14:paraId="2F425F64" w14:textId="5B4DAB52" w:rsidR="00893EBA" w:rsidRPr="0017031E"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 DELTA 2成为目前DELTA系列最热销的产品型号，首销即占DELTA系列销量的60%+</w:t>
      </w:r>
    </w:p>
    <w:p w14:paraId="20524038"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t>三、媒体&amp;红人</w:t>
      </w:r>
    </w:p>
    <w:p w14:paraId="0E76635D"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t>• PR 媒体报道</w:t>
      </w:r>
    </w:p>
    <w:p w14:paraId="6ECE910B"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欧美累计180+媒体报道，其中78家为头部媒体（&gt;1m），包括BBC, CNN Underscored, The Times,  Wired, Digital Trend, Huffington Post, BILD等General &amp; tech类顶级媒体, total mentions 2300+。</w:t>
      </w:r>
    </w:p>
    <w:p w14:paraId="09F4D399" w14:textId="4DF76687" w:rsidR="000C61C6" w:rsidRPr="000C61C6"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PR share of voice在主要国家的占比都&gt;40%，是竞品中媒体声量最高的。</w:t>
      </w:r>
    </w:p>
    <w:p w14:paraId="1C4BEDD7"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t>• KOL</w:t>
      </w:r>
    </w:p>
    <w:p w14:paraId="7C32FCF7" w14:textId="27251878"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9-10月欧美共计上线180+KOL视频，播放量超过三千万。获得MKBHD，JerryRigEverything，hobotech，Austin Evans等来自Vertical, outdoor, family, tech多圈层达人的青睐；首月北美已发布95条视频，浏览量约20.33M+ views，还剩余7条视频将在10月中前发布；欧洲已发布87条视频，浏览量约10M views。同时通过YouTube视频+IG+TikTok 帖子联动发布，实现多平台引爆声量和跨渠道引流。</w:t>
      </w:r>
    </w:p>
    <w:p w14:paraId="0653253F"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t xml:space="preserve">四、首月社媒曝光&amp;互动 </w:t>
      </w:r>
    </w:p>
    <w:p w14:paraId="3EC89151"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Total Reach: 1,670,034</w:t>
      </w:r>
    </w:p>
    <w:p w14:paraId="2F7BA971"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Total Engagements: 99,186</w:t>
      </w:r>
    </w:p>
    <w:p w14:paraId="362025CC"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t xml:space="preserve">    </w:t>
      </w:r>
    </w:p>
    <w:p w14:paraId="0A56E379"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lastRenderedPageBreak/>
        <w:t>五、广告</w:t>
      </w:r>
    </w:p>
    <w:p w14:paraId="42613CB3"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北美+欧洲 reach 15.7M 人</w:t>
      </w:r>
    </w:p>
    <w:p w14:paraId="04E1FE14" w14:textId="77777777" w:rsidR="00893EBA" w:rsidRPr="00CC4D01" w:rsidRDefault="00893EBA" w:rsidP="00893EBA">
      <w:pPr>
        <w:pStyle w:val="af4"/>
        <w:spacing w:line="460" w:lineRule="exact"/>
        <w:rPr>
          <w:rFonts w:ascii="微软雅黑" w:eastAsia="微软雅黑" w:hAnsi="微软雅黑" w:cs="Times New Roman"/>
          <w:b/>
          <w:color w:val="0D0D0D" w:themeColor="text1" w:themeTint="F2"/>
          <w:sz w:val="21"/>
          <w:szCs w:val="21"/>
        </w:rPr>
      </w:pPr>
      <w:r w:rsidRPr="00CC4D01">
        <w:rPr>
          <w:rFonts w:ascii="微软雅黑" w:eastAsia="微软雅黑" w:hAnsi="微软雅黑" w:cs="Times New Roman" w:hint="eastAsia"/>
          <w:b/>
          <w:color w:val="0D0D0D" w:themeColor="text1" w:themeTint="F2"/>
          <w:sz w:val="21"/>
          <w:szCs w:val="21"/>
        </w:rPr>
        <w:t>六、视频播放量</w:t>
      </w:r>
    </w:p>
    <w:p w14:paraId="6CDCF7C4"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DELTA 2 官方系列视频累计播放量：1.89M</w:t>
      </w:r>
    </w:p>
    <w:p w14:paraId="741A0460"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 xml:space="preserve">系列地址：https://www.youtube.com/playlist?list=PLzLRfwXFBuhaQ7qk7yJNvjfxXGMieFk4c </w:t>
      </w:r>
    </w:p>
    <w:p w14:paraId="2526BF8D"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DELTA 2｜Not just a battery | TVC： 122K views</w:t>
      </w:r>
    </w:p>
    <w:p w14:paraId="5A8F549F"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 xml:space="preserve">https://www.youtube.com/watch?v=_YQbsiPE8to&amp;list=PLzLRfwXFBuhaQ7qk7yJNvjfxXGMieFk4c&amp;index=5 </w:t>
      </w:r>
    </w:p>
    <w:p w14:paraId="47AE2DC7" w14:textId="77777777" w:rsidR="00893EBA" w:rsidRPr="00CC4D01" w:rsidRDefault="00893EBA" w:rsidP="00893EBA">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#NOT JUST A BATTERY 用户故事视频：13K</w:t>
      </w:r>
    </w:p>
    <w:p w14:paraId="5F62C0FD" w14:textId="37170FC6" w:rsidR="00847B24" w:rsidRDefault="00893EBA" w:rsidP="0017031E">
      <w:pPr>
        <w:pStyle w:val="af4"/>
        <w:spacing w:line="460" w:lineRule="exact"/>
        <w:rPr>
          <w:rFonts w:ascii="微软雅黑" w:eastAsia="微软雅黑" w:hAnsi="微软雅黑" w:cs="Times New Roman"/>
          <w:bCs/>
          <w:color w:val="0D0D0D" w:themeColor="text1" w:themeTint="F2"/>
          <w:sz w:val="21"/>
          <w:szCs w:val="21"/>
        </w:rPr>
      </w:pPr>
      <w:r w:rsidRPr="00CC4D01">
        <w:rPr>
          <w:rFonts w:ascii="微软雅黑" w:eastAsia="微软雅黑" w:hAnsi="微软雅黑" w:cs="Times New Roman" w:hint="eastAsia"/>
          <w:bCs/>
          <w:color w:val="0D0D0D" w:themeColor="text1" w:themeTint="F2"/>
          <w:sz w:val="21"/>
          <w:szCs w:val="21"/>
        </w:rPr>
        <w:t>系列地址：</w:t>
      </w:r>
      <w:hyperlink r:id="rId17" w:history="1">
        <w:r w:rsidR="0017031E" w:rsidRPr="00FB438A">
          <w:rPr>
            <w:rStyle w:val="a5"/>
            <w:rFonts w:ascii="微软雅黑" w:eastAsia="微软雅黑" w:hAnsi="微软雅黑" w:cs="Times New Roman" w:hint="eastAsia"/>
            <w:bCs/>
            <w:sz w:val="21"/>
            <w:szCs w:val="21"/>
          </w:rPr>
          <w:t>https://www.youtube.com/playlist?list=PLzLRfwXFBuhbBI7L1OY1NyDzMh67k_EKH</w:t>
        </w:r>
      </w:hyperlink>
    </w:p>
    <w:p w14:paraId="2AFDEDD5" w14:textId="77777777" w:rsidR="0017031E" w:rsidRPr="0017031E" w:rsidRDefault="0017031E" w:rsidP="0017031E">
      <w:pPr>
        <w:pStyle w:val="af4"/>
        <w:spacing w:line="460" w:lineRule="exact"/>
        <w:rPr>
          <w:rFonts w:ascii="微软雅黑" w:eastAsia="微软雅黑" w:hAnsi="微软雅黑" w:cs="Times New Roman"/>
          <w:bCs/>
          <w:color w:val="0D0D0D" w:themeColor="text1" w:themeTint="F2"/>
          <w:sz w:val="21"/>
          <w:szCs w:val="21"/>
        </w:rPr>
      </w:pPr>
    </w:p>
    <w:sectPr w:rsidR="0017031E" w:rsidRPr="0017031E" w:rsidSect="00970C56">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F254A" w14:textId="77777777" w:rsidR="006B7365" w:rsidRDefault="006B7365">
      <w:r>
        <w:separator/>
      </w:r>
    </w:p>
  </w:endnote>
  <w:endnote w:type="continuationSeparator" w:id="0">
    <w:p w14:paraId="468774E2" w14:textId="77777777" w:rsidR="006B7365" w:rsidRDefault="006B7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B4B8E" w14:textId="77777777" w:rsidR="006B7365" w:rsidRDefault="006B7365">
      <w:r>
        <w:separator/>
      </w:r>
    </w:p>
  </w:footnote>
  <w:footnote w:type="continuationSeparator" w:id="0">
    <w:p w14:paraId="10AA1BF7" w14:textId="77777777" w:rsidR="006B7365" w:rsidRDefault="006B7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03571681">
    <w:abstractNumId w:val="8"/>
  </w:num>
  <w:num w:numId="2" w16cid:durableId="756830856">
    <w:abstractNumId w:val="7"/>
  </w:num>
  <w:num w:numId="3" w16cid:durableId="1297566131">
    <w:abstractNumId w:val="2"/>
  </w:num>
  <w:num w:numId="4" w16cid:durableId="568926344">
    <w:abstractNumId w:val="5"/>
  </w:num>
  <w:num w:numId="5" w16cid:durableId="547448392">
    <w:abstractNumId w:val="0"/>
  </w:num>
  <w:num w:numId="6" w16cid:durableId="1620650080">
    <w:abstractNumId w:val="16"/>
  </w:num>
  <w:num w:numId="7" w16cid:durableId="2124228737">
    <w:abstractNumId w:val="14"/>
  </w:num>
  <w:num w:numId="8" w16cid:durableId="727188157">
    <w:abstractNumId w:val="11"/>
  </w:num>
  <w:num w:numId="9" w16cid:durableId="441000734">
    <w:abstractNumId w:val="10"/>
  </w:num>
  <w:num w:numId="10" w16cid:durableId="1241015838">
    <w:abstractNumId w:val="9"/>
  </w:num>
  <w:num w:numId="11" w16cid:durableId="1524242605">
    <w:abstractNumId w:val="12"/>
  </w:num>
  <w:num w:numId="12" w16cid:durableId="1654068705">
    <w:abstractNumId w:val="15"/>
  </w:num>
  <w:num w:numId="13" w16cid:durableId="1206452380">
    <w:abstractNumId w:val="6"/>
  </w:num>
  <w:num w:numId="14" w16cid:durableId="1330138521">
    <w:abstractNumId w:val="13"/>
  </w:num>
  <w:num w:numId="15" w16cid:durableId="1834831111">
    <w:abstractNumId w:val="3"/>
  </w:num>
  <w:num w:numId="16" w16cid:durableId="1538541924">
    <w:abstractNumId w:val="4"/>
  </w:num>
  <w:num w:numId="17" w16cid:durableId="897596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84F62"/>
    <w:rsid w:val="000915E6"/>
    <w:rsid w:val="00097129"/>
    <w:rsid w:val="000979A5"/>
    <w:rsid w:val="000A3EB7"/>
    <w:rsid w:val="000B2399"/>
    <w:rsid w:val="000C5FBB"/>
    <w:rsid w:val="000C61C6"/>
    <w:rsid w:val="000D05FE"/>
    <w:rsid w:val="000D6DC9"/>
    <w:rsid w:val="000E10C0"/>
    <w:rsid w:val="000E18A5"/>
    <w:rsid w:val="000E2A45"/>
    <w:rsid w:val="000F07ED"/>
    <w:rsid w:val="000F4F10"/>
    <w:rsid w:val="000F5168"/>
    <w:rsid w:val="000F63B2"/>
    <w:rsid w:val="00106A1A"/>
    <w:rsid w:val="00106EA3"/>
    <w:rsid w:val="0010732C"/>
    <w:rsid w:val="00114DD5"/>
    <w:rsid w:val="001231BD"/>
    <w:rsid w:val="001265C9"/>
    <w:rsid w:val="00131A61"/>
    <w:rsid w:val="00132BB8"/>
    <w:rsid w:val="00136B4D"/>
    <w:rsid w:val="00142184"/>
    <w:rsid w:val="001458CE"/>
    <w:rsid w:val="00146A94"/>
    <w:rsid w:val="001540DA"/>
    <w:rsid w:val="0017031E"/>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03D3"/>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D702D"/>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365"/>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27A1F"/>
    <w:rsid w:val="00832432"/>
    <w:rsid w:val="008326D5"/>
    <w:rsid w:val="00833986"/>
    <w:rsid w:val="00847B24"/>
    <w:rsid w:val="0085738D"/>
    <w:rsid w:val="008612D4"/>
    <w:rsid w:val="008674D7"/>
    <w:rsid w:val="00875DF6"/>
    <w:rsid w:val="00880022"/>
    <w:rsid w:val="008825EF"/>
    <w:rsid w:val="008875A4"/>
    <w:rsid w:val="00893EBA"/>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76BEC"/>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4D01"/>
    <w:rsid w:val="00CC70FB"/>
    <w:rsid w:val="00CE55AC"/>
    <w:rsid w:val="00D1108E"/>
    <w:rsid w:val="00D13BC3"/>
    <w:rsid w:val="00D14F03"/>
    <w:rsid w:val="00D178A4"/>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4BD0"/>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qFormat/>
    <w:rsid w:val="001D3F3B"/>
  </w:style>
  <w:style w:type="character" w:customStyle="1" w:styleId="af5">
    <w:name w:val="批注文字 字符"/>
    <w:basedOn w:val="a0"/>
    <w:link w:val="af4"/>
    <w:qFormat/>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paragraph" w:customStyle="1" w:styleId="10">
    <w:name w:val="列表段落1"/>
    <w:basedOn w:val="a"/>
    <w:uiPriority w:val="34"/>
    <w:qFormat/>
    <w:rsid w:val="003603D3"/>
    <w:pPr>
      <w:widowControl w:val="0"/>
      <w:ind w:firstLineChars="200" w:firstLine="420"/>
      <w:jc w:val="both"/>
    </w:pPr>
    <w:rPr>
      <w:rFonts w:ascii="Times New Roman" w:hAnsi="Times New Roman" w:cs="Times New Roman"/>
      <w:kern w:val="2"/>
      <w:sz w:val="21"/>
    </w:rPr>
  </w:style>
  <w:style w:type="table" w:customStyle="1" w:styleId="ListTable4-Accent21">
    <w:name w:val="List Table 4 - Accent 21"/>
    <w:basedOn w:val="a1"/>
    <w:uiPriority w:val="49"/>
    <w:qFormat/>
    <w:rsid w:val="00893EBA"/>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PlainTable11">
    <w:name w:val="Plain Table 11"/>
    <w:basedOn w:val="a1"/>
    <w:uiPriority w:val="41"/>
    <w:qFormat/>
    <w:rsid w:val="00827A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Unresolved Mention"/>
    <w:basedOn w:val="a0"/>
    <w:uiPriority w:val="99"/>
    <w:semiHidden/>
    <w:unhideWhenUsed/>
    <w:rsid w:val="00170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playlist?list=PLzLRfwXFBuhbBI7L1OY1NyDzMh67k_EK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qq.com/x/page/m3369du7d31.html"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616</Words>
  <Characters>3515</Characters>
  <Application>Microsoft Office Word</Application>
  <DocSecurity>0</DocSecurity>
  <PresentationFormat/>
  <Lines>29</Lines>
  <Paragraphs>8</Paragraphs>
  <Slides>0</Slides>
  <Notes>0</Notes>
  <HiddenSlides>0</HiddenSlides>
  <MMClips>0</MMClips>
  <ScaleCrop>false</ScaleCrop>
  <Company>WWW.YlmF.CoM</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2012-10-11T08:46:00Z</cp:lastPrinted>
  <dcterms:created xsi:type="dcterms:W3CDTF">2023-02-18T01:29:00Z</dcterms:created>
  <dcterms:modified xsi:type="dcterms:W3CDTF">2023-03-02T07:13:00Z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