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5F46A" w14:textId="7C0120FB" w:rsidR="009076EA" w:rsidRPr="00047954" w:rsidRDefault="00B175FB" w:rsidP="00047954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易星</w:t>
      </w:r>
    </w:p>
    <w:p w14:paraId="6C3E6E22" w14:textId="2B82D85C" w:rsidR="009076EA" w:rsidRPr="000F5168" w:rsidRDefault="009076EA" w:rsidP="00D36665">
      <w:pPr>
        <w:textAlignment w:val="baseline"/>
        <w:rPr>
          <w:rFonts w:ascii="微软雅黑" w:eastAsia="微软雅黑" w:hAnsi="微软雅黑"/>
          <w:b/>
        </w:rPr>
      </w:pPr>
      <w:r w:rsidRPr="000F5168">
        <w:rPr>
          <w:rFonts w:ascii="微软雅黑" w:eastAsia="微软雅黑" w:hAnsi="微软雅黑" w:hint="eastAsia"/>
          <w:b/>
        </w:rPr>
        <w:t>公司职位</w:t>
      </w:r>
      <w:r w:rsidRPr="00047954">
        <w:rPr>
          <w:rFonts w:ascii="微软雅黑" w:eastAsia="微软雅黑" w:hAnsi="微软雅黑" w:hint="eastAsia"/>
        </w:rPr>
        <w:t>：</w:t>
      </w:r>
      <w:proofErr w:type="gramStart"/>
      <w:r w:rsidR="00B175FB" w:rsidRPr="00AB542F">
        <w:rPr>
          <w:rFonts w:ascii="微软雅黑" w:eastAsia="微软雅黑" w:hAnsi="微软雅黑" w:cs="Arial"/>
          <w:color w:val="000000"/>
          <w:szCs w:val="21"/>
        </w:rPr>
        <w:t>派瑞威行</w:t>
      </w:r>
      <w:proofErr w:type="gramEnd"/>
      <w:r w:rsidR="00B175FB" w:rsidRPr="00AB542F">
        <w:rPr>
          <w:rFonts w:ascii="微软雅黑" w:eastAsia="微软雅黑" w:hAnsi="微软雅黑" w:cs="Arial"/>
          <w:color w:val="000000"/>
          <w:szCs w:val="21"/>
        </w:rPr>
        <w:t>CEO、</w:t>
      </w:r>
      <w:proofErr w:type="gramStart"/>
      <w:r w:rsidR="00B175FB" w:rsidRPr="00AB542F">
        <w:rPr>
          <w:rFonts w:ascii="微软雅黑" w:eastAsia="微软雅黑" w:hAnsi="微软雅黑" w:cs="Arial"/>
          <w:color w:val="000000"/>
          <w:szCs w:val="21"/>
        </w:rPr>
        <w:t>浙文互联</w:t>
      </w:r>
      <w:proofErr w:type="gramEnd"/>
      <w:r w:rsidR="00B175FB" w:rsidRPr="00AB542F">
        <w:rPr>
          <w:rFonts w:ascii="微软雅黑" w:eastAsia="微软雅黑" w:hAnsi="微软雅黑" w:cs="Arial"/>
          <w:color w:val="000000"/>
          <w:szCs w:val="21"/>
        </w:rPr>
        <w:t>集团联席总经理</w:t>
      </w:r>
    </w:p>
    <w:p w14:paraId="3213F036" w14:textId="52327840" w:rsidR="00047954" w:rsidRPr="00047954" w:rsidRDefault="009076EA" w:rsidP="00047954">
      <w:pPr>
        <w:textAlignment w:val="baseline"/>
        <w:rPr>
          <w:rFonts w:ascii="微软雅黑" w:eastAsia="微软雅黑" w:hAnsi="微软雅黑"/>
          <w:color w:val="FF0000"/>
          <w:kern w:val="0"/>
        </w:rPr>
      </w:pPr>
      <w:r w:rsidRPr="000F5168">
        <w:rPr>
          <w:rFonts w:ascii="微软雅黑" w:eastAsia="微软雅黑" w:hAnsi="微软雅黑" w:hint="eastAsia"/>
          <w:b/>
        </w:rPr>
        <w:t>参选类别</w:t>
      </w:r>
      <w:r w:rsidRPr="00047954">
        <w:rPr>
          <w:rFonts w:ascii="微软雅黑" w:eastAsia="微软雅黑" w:hAnsi="微软雅黑" w:hint="eastAsia"/>
        </w:rPr>
        <w:t>：</w:t>
      </w:r>
      <w:r w:rsidR="003957A8" w:rsidRPr="003957A8">
        <w:rPr>
          <w:rFonts w:ascii="微软雅黑" w:eastAsia="微软雅黑" w:hAnsi="微软雅黑" w:cs="Arial" w:hint="eastAsia"/>
          <w:color w:val="000000"/>
          <w:szCs w:val="21"/>
        </w:rPr>
        <w:t>年度数字营销创新力人物</w:t>
      </w:r>
    </w:p>
    <w:p w14:paraId="1F47477D" w14:textId="30295BB6" w:rsidR="00622A06" w:rsidRDefault="009076EA" w:rsidP="00532294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332E8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人物简介</w:t>
      </w:r>
    </w:p>
    <w:p w14:paraId="3DB02C69" w14:textId="20B908CB" w:rsidR="003957A8" w:rsidRDefault="003957A8" w:rsidP="00532294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75931501" wp14:editId="2699CF96">
            <wp:extent cx="3048000" cy="457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4E18C" w14:textId="7C67B998" w:rsidR="00622A06" w:rsidRPr="00AB542F" w:rsidRDefault="00622A06" w:rsidP="00622A06">
      <w:pPr>
        <w:pStyle w:val="ac"/>
        <w:spacing w:before="75" w:beforeAutospacing="0" w:after="75" w:afterAutospacing="0" w:line="400" w:lineRule="exact"/>
        <w:jc w:val="both"/>
        <w:rPr>
          <w:rFonts w:ascii="微软雅黑" w:eastAsia="微软雅黑" w:hAnsi="微软雅黑" w:cs="Arial"/>
          <w:color w:val="000000"/>
          <w:kern w:val="2"/>
          <w:sz w:val="21"/>
          <w:szCs w:val="21"/>
        </w:rPr>
      </w:pPr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易星</w:t>
      </w:r>
      <w:proofErr w:type="gramEnd"/>
      <w:r>
        <w:rPr>
          <w:rFonts w:ascii="微软雅黑" w:eastAsia="微软雅黑" w:hAnsi="微软雅黑" w:cs="Arial" w:hint="eastAsia"/>
          <w:color w:val="000000"/>
          <w:kern w:val="2"/>
          <w:sz w:val="21"/>
          <w:szCs w:val="21"/>
        </w:rPr>
        <w:t>-</w:t>
      </w:r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现任</w:t>
      </w:r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派瑞威行</w:t>
      </w:r>
      <w:proofErr w:type="gramEnd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CEO、</w:t>
      </w:r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浙文互联</w:t>
      </w:r>
      <w:proofErr w:type="gramEnd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集团联席总经理 。</w:t>
      </w:r>
    </w:p>
    <w:p w14:paraId="253D8E2E" w14:textId="77777777" w:rsidR="00622A06" w:rsidRPr="00AB542F" w:rsidRDefault="00622A06" w:rsidP="00622A06">
      <w:pPr>
        <w:pStyle w:val="ac"/>
        <w:spacing w:before="75" w:beforeAutospacing="0" w:after="75" w:afterAutospacing="0" w:line="400" w:lineRule="exact"/>
        <w:jc w:val="both"/>
        <w:rPr>
          <w:rFonts w:ascii="微软雅黑" w:eastAsia="微软雅黑" w:hAnsi="微软雅黑" w:cs="Arial"/>
          <w:color w:val="000000"/>
          <w:kern w:val="2"/>
          <w:sz w:val="21"/>
          <w:szCs w:val="21"/>
        </w:rPr>
      </w:pPr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2013年，加入</w:t>
      </w:r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派瑞威行</w:t>
      </w:r>
      <w:proofErr w:type="gramEnd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，负责公司策略&amp;品牌传播工作； </w:t>
      </w:r>
    </w:p>
    <w:p w14:paraId="458437C7" w14:textId="77777777" w:rsidR="00622A06" w:rsidRPr="00AB542F" w:rsidRDefault="00622A06" w:rsidP="00622A06">
      <w:pPr>
        <w:pStyle w:val="ac"/>
        <w:spacing w:before="75" w:beforeAutospacing="0" w:after="75" w:afterAutospacing="0" w:line="400" w:lineRule="exact"/>
        <w:jc w:val="both"/>
        <w:rPr>
          <w:rFonts w:ascii="微软雅黑" w:eastAsia="微软雅黑" w:hAnsi="微软雅黑" w:cs="Arial"/>
          <w:color w:val="000000"/>
          <w:kern w:val="2"/>
          <w:sz w:val="21"/>
          <w:szCs w:val="21"/>
        </w:rPr>
      </w:pPr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2014年~2018年，任公司副总裁，负责策略团队、销售团队、媒介团队运营团队的管理工作； </w:t>
      </w:r>
    </w:p>
    <w:p w14:paraId="7C5CA88D" w14:textId="77777777" w:rsidR="00622A06" w:rsidRPr="00AB542F" w:rsidRDefault="00622A06" w:rsidP="00622A06">
      <w:pPr>
        <w:pStyle w:val="ac"/>
        <w:spacing w:before="75" w:beforeAutospacing="0" w:after="75" w:afterAutospacing="0" w:line="400" w:lineRule="exact"/>
        <w:jc w:val="both"/>
        <w:rPr>
          <w:rFonts w:ascii="微软雅黑" w:eastAsia="微软雅黑" w:hAnsi="微软雅黑" w:cs="Arial"/>
          <w:color w:val="000000"/>
          <w:kern w:val="2"/>
          <w:sz w:val="21"/>
          <w:szCs w:val="21"/>
        </w:rPr>
      </w:pPr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2020年5月，</w:t>
      </w:r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任派瑞威</w:t>
      </w:r>
      <w:proofErr w:type="gramEnd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行COO，全面负责公司业务管理工作； </w:t>
      </w:r>
    </w:p>
    <w:p w14:paraId="09BB3292" w14:textId="77777777" w:rsidR="00622A06" w:rsidRPr="00AB542F" w:rsidRDefault="00622A06" w:rsidP="00622A06">
      <w:pPr>
        <w:pStyle w:val="ac"/>
        <w:spacing w:before="75" w:beforeAutospacing="0" w:after="75" w:afterAutospacing="0" w:line="400" w:lineRule="exact"/>
        <w:jc w:val="both"/>
        <w:rPr>
          <w:rFonts w:ascii="微软雅黑" w:eastAsia="微软雅黑" w:hAnsi="微软雅黑" w:cs="Arial"/>
          <w:color w:val="000000"/>
          <w:kern w:val="2"/>
          <w:sz w:val="21"/>
          <w:szCs w:val="21"/>
        </w:rPr>
      </w:pPr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2020年9月，</w:t>
      </w:r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任派瑞威</w:t>
      </w:r>
      <w:proofErr w:type="gramEnd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行CEO，全面管理公司工作。</w:t>
      </w:r>
    </w:p>
    <w:p w14:paraId="6C5A5B5E" w14:textId="310A336F" w:rsidR="003D713F" w:rsidRPr="003957A8" w:rsidRDefault="00622A06" w:rsidP="003957A8">
      <w:pPr>
        <w:widowControl/>
        <w:spacing w:before="100" w:beforeAutospacing="1" w:after="100" w:afterAutospacing="1"/>
        <w:textAlignment w:val="baseline"/>
        <w:rPr>
          <w:rFonts w:ascii="微软雅黑" w:eastAsia="微软雅黑" w:hAnsi="微软雅黑" w:cs="Arial"/>
          <w:color w:val="000000"/>
          <w:szCs w:val="21"/>
        </w:rPr>
      </w:pPr>
      <w:r w:rsidRPr="00622A06">
        <w:rPr>
          <w:rFonts w:ascii="MS Gothic" w:eastAsia="MS Gothic" w:hAnsi="MS Gothic" w:cs="MS Gothic" w:hint="eastAsia"/>
          <w:color w:val="000000"/>
          <w:szCs w:val="21"/>
        </w:rPr>
        <w:t>​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在易星的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带领下，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派瑞威行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深入扎根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于效果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营销领域，服务网服、金融、游戏、电商、旅游、教育</w:t>
      </w:r>
      <w:r>
        <w:rPr>
          <w:rFonts w:ascii="微软雅黑" w:eastAsia="微软雅黑" w:hAnsi="微软雅黑" w:cs="Arial" w:hint="eastAsia"/>
          <w:color w:val="000000"/>
          <w:szCs w:val="21"/>
        </w:rPr>
        <w:t>、大众消费品七</w:t>
      </w:r>
      <w:r w:rsidRPr="00AB542F">
        <w:rPr>
          <w:rFonts w:ascii="微软雅黑" w:eastAsia="微软雅黑" w:hAnsi="微软雅黑" w:cs="Arial"/>
          <w:color w:val="000000"/>
          <w:szCs w:val="21"/>
        </w:rPr>
        <w:t>大行业TOP客户。2020年又开启直播电商业务，目前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派瑞威行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已经打造短视频+直播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双业务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模式，实现全链路营销闭环。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派瑞威行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与行业流量媒体多年深入合作，连续多年成为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腾讯系</w:t>
      </w:r>
      <w:r>
        <w:rPr>
          <w:rFonts w:ascii="微软雅黑" w:eastAsia="微软雅黑" w:hAnsi="微软雅黑" w:cs="Arial" w:hint="eastAsia"/>
          <w:color w:val="000000"/>
          <w:szCs w:val="21"/>
        </w:rPr>
        <w:t>、</w:t>
      </w:r>
      <w:r w:rsidRPr="00AB542F">
        <w:rPr>
          <w:rFonts w:ascii="微软雅黑" w:eastAsia="微软雅黑" w:hAnsi="微软雅黑" w:cs="Arial"/>
          <w:color w:val="000000"/>
          <w:szCs w:val="21"/>
        </w:rPr>
        <w:t>头条系</w:t>
      </w:r>
      <w:r>
        <w:rPr>
          <w:rFonts w:ascii="微软雅黑" w:eastAsia="微软雅黑" w:hAnsi="微软雅黑" w:cs="Arial" w:hint="eastAsia"/>
          <w:color w:val="000000"/>
          <w:szCs w:val="21"/>
        </w:rPr>
        <w:t>以及</w:t>
      </w:r>
      <w:proofErr w:type="gramEnd"/>
      <w:r>
        <w:rPr>
          <w:rFonts w:ascii="微软雅黑" w:eastAsia="微软雅黑" w:hAnsi="微软雅黑" w:cs="Arial" w:hint="eastAsia"/>
          <w:color w:val="000000"/>
          <w:szCs w:val="21"/>
        </w:rPr>
        <w:t>快手</w:t>
      </w:r>
      <w:r w:rsidRPr="00AB542F">
        <w:rPr>
          <w:rFonts w:ascii="微软雅黑" w:eastAsia="微软雅黑" w:hAnsi="微软雅黑" w:cs="Arial"/>
          <w:color w:val="000000"/>
          <w:szCs w:val="21"/>
        </w:rPr>
        <w:t>的头部代理商，</w:t>
      </w:r>
      <w:r>
        <w:rPr>
          <w:rFonts w:ascii="微软雅黑" w:eastAsia="微软雅黑" w:hAnsi="微软雅黑" w:cs="Arial" w:hint="eastAsia"/>
          <w:color w:val="000000"/>
          <w:szCs w:val="21"/>
        </w:rPr>
        <w:t>2</w:t>
      </w:r>
      <w:r>
        <w:rPr>
          <w:rFonts w:ascii="微软雅黑" w:eastAsia="微软雅黑" w:hAnsi="微软雅黑" w:cs="Arial"/>
          <w:color w:val="000000"/>
          <w:szCs w:val="21"/>
        </w:rPr>
        <w:t>021</w:t>
      </w:r>
      <w:r w:rsidR="00623F47">
        <w:rPr>
          <w:rFonts w:ascii="微软雅黑" w:eastAsia="微软雅黑" w:hAnsi="微软雅黑" w:cs="Arial" w:hint="eastAsia"/>
          <w:color w:val="000000"/>
          <w:szCs w:val="21"/>
        </w:rPr>
        <w:t>和2</w:t>
      </w:r>
      <w:r w:rsidR="00623F47">
        <w:rPr>
          <w:rFonts w:ascii="微软雅黑" w:eastAsia="微软雅黑" w:hAnsi="微软雅黑" w:cs="Arial"/>
          <w:color w:val="000000"/>
          <w:szCs w:val="21"/>
        </w:rPr>
        <w:t>022</w:t>
      </w:r>
      <w:r>
        <w:rPr>
          <w:rFonts w:ascii="微软雅黑" w:eastAsia="微软雅黑" w:hAnsi="微软雅黑" w:cs="Arial" w:hint="eastAsia"/>
          <w:color w:val="000000"/>
          <w:szCs w:val="21"/>
        </w:rPr>
        <w:t>年</w:t>
      </w:r>
      <w:r w:rsidRPr="00AB542F">
        <w:rPr>
          <w:rFonts w:ascii="微软雅黑" w:eastAsia="微软雅黑" w:hAnsi="微软雅黑" w:cs="Arial"/>
          <w:color w:val="000000"/>
          <w:szCs w:val="21"/>
        </w:rPr>
        <w:t>公司营</w:t>
      </w:r>
      <w:proofErr w:type="gramStart"/>
      <w:r w:rsidRPr="00AB542F">
        <w:rPr>
          <w:rFonts w:ascii="微软雅黑" w:eastAsia="微软雅黑" w:hAnsi="微软雅黑" w:cs="Arial"/>
          <w:color w:val="000000"/>
          <w:szCs w:val="21"/>
        </w:rPr>
        <w:t>收</w:t>
      </w:r>
      <w:r w:rsidR="00623F47">
        <w:rPr>
          <w:rFonts w:ascii="微软雅黑" w:eastAsia="微软雅黑" w:hAnsi="微软雅黑" w:cs="Arial" w:hint="eastAsia"/>
          <w:color w:val="000000"/>
          <w:szCs w:val="21"/>
        </w:rPr>
        <w:t>连续</w:t>
      </w:r>
      <w:proofErr w:type="gramEnd"/>
      <w:r w:rsidRPr="00AB542F">
        <w:rPr>
          <w:rFonts w:ascii="微软雅黑" w:eastAsia="微软雅黑" w:hAnsi="微软雅黑" w:cs="Arial"/>
          <w:color w:val="000000"/>
          <w:szCs w:val="21"/>
        </w:rPr>
        <w:t>达到百亿</w:t>
      </w:r>
      <w:r w:rsidR="00623F47">
        <w:rPr>
          <w:rFonts w:ascii="微软雅黑" w:eastAsia="微软雅黑" w:hAnsi="微软雅黑" w:cs="Arial" w:hint="eastAsia"/>
          <w:color w:val="000000"/>
          <w:szCs w:val="21"/>
        </w:rPr>
        <w:t>规模</w:t>
      </w:r>
      <w:r w:rsidRPr="00AB542F">
        <w:rPr>
          <w:rFonts w:ascii="微软雅黑" w:eastAsia="微软雅黑" w:hAnsi="微软雅黑" w:cs="Arial"/>
          <w:color w:val="000000"/>
          <w:szCs w:val="21"/>
        </w:rPr>
        <w:t>。</w:t>
      </w:r>
    </w:p>
    <w:p w14:paraId="25758988" w14:textId="1404D401" w:rsidR="00E33A13" w:rsidRPr="00622A06" w:rsidRDefault="003B3859" w:rsidP="00622A06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lastRenderedPageBreak/>
        <w:t>数字营销领域</w:t>
      </w:r>
      <w:r w:rsidR="00C653FB"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杰</w:t>
      </w:r>
      <w:r w:rsidR="00E10DBE"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出</w:t>
      </w:r>
      <w:r w:rsidR="009076EA" w:rsidRPr="00532294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贡献</w:t>
      </w:r>
    </w:p>
    <w:p w14:paraId="7314A27B" w14:textId="510FAD69" w:rsidR="00282252" w:rsidRDefault="00B175FB" w:rsidP="003957A8">
      <w:pPr>
        <w:pStyle w:val="ac"/>
        <w:spacing w:before="75" w:beforeAutospacing="0" w:after="75" w:afterAutospacing="0" w:line="400" w:lineRule="exact"/>
        <w:jc w:val="both"/>
        <w:rPr>
          <w:rFonts w:ascii="微软雅黑" w:eastAsia="微软雅黑" w:hAnsi="微软雅黑"/>
          <w:kern w:val="2"/>
          <w:sz w:val="21"/>
        </w:rPr>
      </w:pPr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易星</w:t>
      </w:r>
      <w:proofErr w:type="gramEnd"/>
      <w:r w:rsidR="00622A06">
        <w:rPr>
          <w:rFonts w:ascii="微软雅黑" w:eastAsia="微软雅黑" w:hAnsi="微软雅黑" w:cs="Arial" w:hint="eastAsia"/>
          <w:color w:val="000000"/>
          <w:kern w:val="2"/>
          <w:sz w:val="21"/>
          <w:szCs w:val="21"/>
        </w:rPr>
        <w:t>-</w:t>
      </w:r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现任</w:t>
      </w:r>
      <w:bookmarkStart w:id="0" w:name="_Hlk92294941"/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派瑞威行</w:t>
      </w:r>
      <w:proofErr w:type="gramEnd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CEO、</w:t>
      </w:r>
      <w:proofErr w:type="gramStart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浙文互联</w:t>
      </w:r>
      <w:proofErr w:type="gramEnd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集团联席总经理</w:t>
      </w:r>
      <w:bookmarkEnd w:id="0"/>
      <w:r w:rsidRPr="00AB542F">
        <w:rPr>
          <w:rFonts w:ascii="微软雅黑" w:eastAsia="微软雅黑" w:hAnsi="微软雅黑" w:cs="Arial"/>
          <w:color w:val="000000"/>
          <w:kern w:val="2"/>
          <w:sz w:val="21"/>
          <w:szCs w:val="21"/>
        </w:rPr>
        <w:t> 。</w:t>
      </w:r>
      <w:r w:rsidRPr="00622A06">
        <w:rPr>
          <w:rFonts w:ascii="微软雅黑" w:eastAsia="微软雅黑" w:hAnsi="微软雅黑" w:hint="eastAsia"/>
          <w:sz w:val="21"/>
        </w:rPr>
        <w:t>作为资深的互联网营销专家，数字营销变革的见证者与领军者，易星女士力求创新，不惧险阻，奋勇拓疆，带领派</w:t>
      </w:r>
      <w:proofErr w:type="gramStart"/>
      <w:r w:rsidRPr="00622A06">
        <w:rPr>
          <w:rFonts w:ascii="微软雅黑" w:eastAsia="微软雅黑" w:hAnsi="微软雅黑" w:hint="eastAsia"/>
          <w:sz w:val="21"/>
        </w:rPr>
        <w:t>瑞威行突出</w:t>
      </w:r>
      <w:proofErr w:type="gramEnd"/>
      <w:r w:rsidRPr="00622A06">
        <w:rPr>
          <w:rFonts w:ascii="微软雅黑" w:eastAsia="微软雅黑" w:hAnsi="微软雅黑" w:hint="eastAsia"/>
          <w:sz w:val="21"/>
        </w:rPr>
        <w:t>重围，打造短视频+直播电商的</w:t>
      </w:r>
      <w:proofErr w:type="gramStart"/>
      <w:r w:rsidRPr="00622A06">
        <w:rPr>
          <w:rFonts w:ascii="微软雅黑" w:eastAsia="微软雅黑" w:hAnsi="微软雅黑" w:hint="eastAsia"/>
          <w:sz w:val="21"/>
        </w:rPr>
        <w:t>双业务</w:t>
      </w:r>
      <w:proofErr w:type="gramEnd"/>
      <w:r w:rsidRPr="00622A06">
        <w:rPr>
          <w:rFonts w:ascii="微软雅黑" w:eastAsia="微软雅黑" w:hAnsi="微软雅黑" w:hint="eastAsia"/>
          <w:sz w:val="21"/>
        </w:rPr>
        <w:t>模式，</w:t>
      </w:r>
      <w:r w:rsidR="009E12FF">
        <w:rPr>
          <w:rFonts w:ascii="微软雅黑" w:eastAsia="微软雅黑" w:hAnsi="微软雅黑" w:hint="eastAsia"/>
          <w:sz w:val="21"/>
        </w:rPr>
        <w:t>实现从效果到全域营销的进阶，打造全</w:t>
      </w:r>
      <w:r w:rsidRPr="00622A06">
        <w:rPr>
          <w:rFonts w:ascii="微软雅黑" w:eastAsia="微软雅黑" w:hAnsi="微软雅黑" w:hint="eastAsia"/>
          <w:sz w:val="21"/>
        </w:rPr>
        <w:t>链路</w:t>
      </w:r>
      <w:r w:rsidR="009E12FF">
        <w:rPr>
          <w:rFonts w:ascii="微软雅黑" w:eastAsia="微软雅黑" w:hAnsi="微软雅黑" w:hint="eastAsia"/>
          <w:sz w:val="21"/>
        </w:rPr>
        <w:t>营销</w:t>
      </w:r>
      <w:r w:rsidRPr="00622A06">
        <w:rPr>
          <w:rFonts w:ascii="微软雅黑" w:eastAsia="微软雅黑" w:hAnsi="微软雅黑" w:hint="eastAsia"/>
          <w:sz w:val="21"/>
        </w:rPr>
        <w:t>闭环，为客户提供高价值</w:t>
      </w:r>
      <w:r w:rsidR="009E12FF">
        <w:rPr>
          <w:rFonts w:ascii="微软雅黑" w:eastAsia="微软雅黑" w:hAnsi="微软雅黑" w:hint="eastAsia"/>
          <w:sz w:val="21"/>
        </w:rPr>
        <w:t>全域</w:t>
      </w:r>
      <w:r w:rsidRPr="00622A06">
        <w:rPr>
          <w:rFonts w:ascii="微软雅黑" w:eastAsia="微软雅黑" w:hAnsi="微软雅黑" w:hint="eastAsia"/>
          <w:sz w:val="21"/>
        </w:rPr>
        <w:t>营销服务解决方案。</w:t>
      </w:r>
      <w:r w:rsidR="00623F47" w:rsidRPr="00623F47">
        <w:rPr>
          <w:rFonts w:ascii="微软雅黑" w:eastAsia="微软雅黑" w:hAnsi="微软雅黑" w:hint="eastAsia"/>
          <w:sz w:val="21"/>
        </w:rPr>
        <w:t>2</w:t>
      </w:r>
      <w:r w:rsidR="00623F47" w:rsidRPr="00623F47">
        <w:rPr>
          <w:rFonts w:ascii="微软雅黑" w:eastAsia="微软雅黑" w:hAnsi="微软雅黑"/>
          <w:sz w:val="21"/>
        </w:rPr>
        <w:t>021</w:t>
      </w:r>
      <w:r w:rsidR="00623F47" w:rsidRPr="00623F47">
        <w:rPr>
          <w:rFonts w:ascii="微软雅黑" w:eastAsia="微软雅黑" w:hAnsi="微软雅黑" w:hint="eastAsia"/>
          <w:sz w:val="21"/>
        </w:rPr>
        <w:t>和2</w:t>
      </w:r>
      <w:r w:rsidR="00623F47" w:rsidRPr="00623F47">
        <w:rPr>
          <w:rFonts w:ascii="微软雅黑" w:eastAsia="微软雅黑" w:hAnsi="微软雅黑"/>
          <w:sz w:val="21"/>
        </w:rPr>
        <w:t>022</w:t>
      </w:r>
      <w:r w:rsidR="00623F47" w:rsidRPr="00623F47">
        <w:rPr>
          <w:rFonts w:ascii="微软雅黑" w:eastAsia="微软雅黑" w:hAnsi="微软雅黑" w:hint="eastAsia"/>
          <w:sz w:val="21"/>
        </w:rPr>
        <w:t>年</w:t>
      </w:r>
      <w:r w:rsidR="00623F47" w:rsidRPr="00623F47">
        <w:rPr>
          <w:rFonts w:ascii="微软雅黑" w:eastAsia="微软雅黑" w:hAnsi="微软雅黑"/>
          <w:sz w:val="21"/>
        </w:rPr>
        <w:t>公司营</w:t>
      </w:r>
      <w:proofErr w:type="gramStart"/>
      <w:r w:rsidR="00623F47" w:rsidRPr="00623F47">
        <w:rPr>
          <w:rFonts w:ascii="微软雅黑" w:eastAsia="微软雅黑" w:hAnsi="微软雅黑"/>
          <w:sz w:val="21"/>
        </w:rPr>
        <w:t>收</w:t>
      </w:r>
      <w:r w:rsidR="00623F47" w:rsidRPr="00623F47">
        <w:rPr>
          <w:rFonts w:ascii="微软雅黑" w:eastAsia="微软雅黑" w:hAnsi="微软雅黑" w:hint="eastAsia"/>
          <w:sz w:val="21"/>
        </w:rPr>
        <w:t>连续</w:t>
      </w:r>
      <w:proofErr w:type="gramEnd"/>
      <w:r w:rsidR="00623F47" w:rsidRPr="00623F47">
        <w:rPr>
          <w:rFonts w:ascii="微软雅黑" w:eastAsia="微软雅黑" w:hAnsi="微软雅黑"/>
          <w:sz w:val="21"/>
        </w:rPr>
        <w:t>达到百亿</w:t>
      </w:r>
      <w:r w:rsidR="00623F47" w:rsidRPr="00623F47">
        <w:rPr>
          <w:rFonts w:ascii="微软雅黑" w:eastAsia="微软雅黑" w:hAnsi="微软雅黑" w:hint="eastAsia"/>
          <w:sz w:val="21"/>
        </w:rPr>
        <w:t>规模</w:t>
      </w:r>
      <w:r w:rsidR="00622A06" w:rsidRPr="00623F47">
        <w:rPr>
          <w:rFonts w:ascii="微软雅黑" w:eastAsia="微软雅黑" w:hAnsi="微软雅黑"/>
          <w:sz w:val="21"/>
        </w:rPr>
        <w:t>。在</w:t>
      </w:r>
      <w:r w:rsidR="00622A06" w:rsidRPr="00622A06">
        <w:rPr>
          <w:rFonts w:ascii="微软雅黑" w:eastAsia="微软雅黑" w:hAnsi="微软雅黑"/>
          <w:kern w:val="2"/>
          <w:sz w:val="21"/>
        </w:rPr>
        <w:t>后疫情时代，易星正在带领</w:t>
      </w:r>
      <w:proofErr w:type="gramStart"/>
      <w:r w:rsidR="00622A06" w:rsidRPr="00622A06">
        <w:rPr>
          <w:rFonts w:ascii="微软雅黑" w:eastAsia="微软雅黑" w:hAnsi="微软雅黑"/>
          <w:kern w:val="2"/>
          <w:sz w:val="21"/>
        </w:rPr>
        <w:t>派瑞威行</w:t>
      </w:r>
      <w:proofErr w:type="gramEnd"/>
      <w:r w:rsidR="00622A06" w:rsidRPr="00622A06">
        <w:rPr>
          <w:rFonts w:ascii="微软雅黑" w:eastAsia="微软雅黑" w:hAnsi="微软雅黑"/>
          <w:kern w:val="2"/>
          <w:sz w:val="21"/>
        </w:rPr>
        <w:t>实现逆势增长！</w:t>
      </w:r>
    </w:p>
    <w:p w14:paraId="7BF17FC7" w14:textId="77777777" w:rsidR="008A63D6" w:rsidRDefault="008A63D6" w:rsidP="008A63D6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业界评价</w:t>
      </w:r>
    </w:p>
    <w:p w14:paraId="617C6311" w14:textId="2E771612" w:rsidR="008A63D6" w:rsidRPr="008A63D6" w:rsidRDefault="008A63D6" w:rsidP="008A63D6">
      <w:pPr>
        <w:spacing w:after="100" w:afterAutospacing="1"/>
        <w:jc w:val="left"/>
        <w:rPr>
          <w:rFonts w:ascii="微软雅黑" w:eastAsia="微软雅黑" w:hAnsi="微软雅黑" w:hint="eastAsia"/>
          <w:color w:val="000000"/>
          <w:szCs w:val="21"/>
        </w:rPr>
      </w:pPr>
      <w:r>
        <w:rPr>
          <w:rFonts w:ascii="微软雅黑" w:eastAsia="微软雅黑" w:hAnsi="微软雅黑" w:hint="eastAsia"/>
          <w:szCs w:val="21"/>
        </w:rPr>
        <w:t>易星女士连续多年荣获IAI年度影响力领军人物、金鼠标年度数字营销影响力人物、</w:t>
      </w:r>
      <w:proofErr w:type="gramStart"/>
      <w:r>
        <w:rPr>
          <w:rFonts w:ascii="微软雅黑" w:eastAsia="微软雅黑" w:hAnsi="微软雅黑" w:hint="eastAsia"/>
          <w:szCs w:val="21"/>
        </w:rPr>
        <w:t>金网奖年度</w:t>
      </w:r>
      <w:proofErr w:type="gramEnd"/>
      <w:r>
        <w:rPr>
          <w:rFonts w:ascii="微软雅黑" w:eastAsia="微软雅黑" w:hAnsi="微软雅黑" w:hint="eastAsia"/>
          <w:szCs w:val="21"/>
        </w:rPr>
        <w:t>数字营销领航人物、金梧奖年度营销创新人物等。</w:t>
      </w:r>
    </w:p>
    <w:sectPr w:rsidR="008A63D6" w:rsidRPr="008A63D6" w:rsidSect="00A361A1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676D" w14:textId="77777777" w:rsidR="003F70E0" w:rsidRDefault="003F70E0">
      <w:r>
        <w:separator/>
      </w:r>
    </w:p>
  </w:endnote>
  <w:endnote w:type="continuationSeparator" w:id="0">
    <w:p w14:paraId="3F2C57AB" w14:textId="77777777" w:rsidR="003F70E0" w:rsidRDefault="003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7268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6331B521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5CF6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440B20F5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C6B1" w14:textId="77777777" w:rsidR="003F70E0" w:rsidRDefault="003F70E0">
      <w:r>
        <w:separator/>
      </w:r>
    </w:p>
  </w:footnote>
  <w:footnote w:type="continuationSeparator" w:id="0">
    <w:p w14:paraId="537CD635" w14:textId="77777777" w:rsidR="003F70E0" w:rsidRDefault="003F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67F1" w14:textId="4885ED70" w:rsidR="000631F9" w:rsidRPr="00E14A7D" w:rsidRDefault="00B86DE7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BA3EDA0" wp14:editId="5AE002C4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623F47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3C6320"/>
    <w:multiLevelType w:val="hybridMultilevel"/>
    <w:tmpl w:val="3A9493A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FB61763"/>
    <w:multiLevelType w:val="hybridMultilevel"/>
    <w:tmpl w:val="C9C4D7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4F289F"/>
    <w:multiLevelType w:val="hybridMultilevel"/>
    <w:tmpl w:val="022EE984"/>
    <w:lvl w:ilvl="0" w:tplc="5F6286E8">
      <w:numFmt w:val="bullet"/>
      <w:lvlText w:val="□"/>
      <w:lvlJc w:val="left"/>
      <w:pPr>
        <w:ind w:left="1410" w:hanging="360"/>
      </w:pPr>
      <w:rPr>
        <w:rFonts w:ascii="微软雅黑" w:eastAsia="微软雅黑" w:hAnsi="微软雅黑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9454062"/>
    <w:multiLevelType w:val="hybridMultilevel"/>
    <w:tmpl w:val="8702F2E0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571666"/>
    <w:multiLevelType w:val="hybridMultilevel"/>
    <w:tmpl w:val="0178D5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97141A"/>
    <w:multiLevelType w:val="hybridMultilevel"/>
    <w:tmpl w:val="DB724D1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B1838"/>
    <w:multiLevelType w:val="hybridMultilevel"/>
    <w:tmpl w:val="ADD412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9802608">
    <w:abstractNumId w:val="12"/>
  </w:num>
  <w:num w:numId="2" w16cid:durableId="376051165">
    <w:abstractNumId w:val="11"/>
  </w:num>
  <w:num w:numId="3" w16cid:durableId="1718702701">
    <w:abstractNumId w:val="2"/>
  </w:num>
  <w:num w:numId="4" w16cid:durableId="1401831426">
    <w:abstractNumId w:val="5"/>
  </w:num>
  <w:num w:numId="5" w16cid:durableId="1316959157">
    <w:abstractNumId w:val="0"/>
  </w:num>
  <w:num w:numId="6" w16cid:durableId="1631862864">
    <w:abstractNumId w:val="13"/>
  </w:num>
  <w:num w:numId="7" w16cid:durableId="36122806">
    <w:abstractNumId w:val="14"/>
  </w:num>
  <w:num w:numId="8" w16cid:durableId="1087532432">
    <w:abstractNumId w:val="15"/>
  </w:num>
  <w:num w:numId="9" w16cid:durableId="694237083">
    <w:abstractNumId w:val="17"/>
  </w:num>
  <w:num w:numId="10" w16cid:durableId="2126070881">
    <w:abstractNumId w:val="9"/>
  </w:num>
  <w:num w:numId="11" w16cid:durableId="1676348681">
    <w:abstractNumId w:val="16"/>
  </w:num>
  <w:num w:numId="12" w16cid:durableId="417748585">
    <w:abstractNumId w:val="7"/>
  </w:num>
  <w:num w:numId="13" w16cid:durableId="257833846">
    <w:abstractNumId w:val="1"/>
  </w:num>
  <w:num w:numId="14" w16cid:durableId="1682705495">
    <w:abstractNumId w:val="6"/>
  </w:num>
  <w:num w:numId="15" w16cid:durableId="1666781699">
    <w:abstractNumId w:val="10"/>
  </w:num>
  <w:num w:numId="16" w16cid:durableId="27266802">
    <w:abstractNumId w:val="18"/>
  </w:num>
  <w:num w:numId="17" w16cid:durableId="914896525">
    <w:abstractNumId w:val="4"/>
  </w:num>
  <w:num w:numId="18" w16cid:durableId="728960162">
    <w:abstractNumId w:val="8"/>
  </w:num>
  <w:num w:numId="19" w16cid:durableId="110786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7E22"/>
    <w:rsid w:val="00044F04"/>
    <w:rsid w:val="0004795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82252"/>
    <w:rsid w:val="00290073"/>
    <w:rsid w:val="00290500"/>
    <w:rsid w:val="002A004E"/>
    <w:rsid w:val="002B0CDA"/>
    <w:rsid w:val="002C6E12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957A8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3F70E0"/>
    <w:rsid w:val="00404490"/>
    <w:rsid w:val="00407FAE"/>
    <w:rsid w:val="004109EA"/>
    <w:rsid w:val="00414081"/>
    <w:rsid w:val="00417062"/>
    <w:rsid w:val="00423117"/>
    <w:rsid w:val="00426569"/>
    <w:rsid w:val="00432011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383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2294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058C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5D19"/>
    <w:rsid w:val="005D614B"/>
    <w:rsid w:val="005D77D7"/>
    <w:rsid w:val="005E4E84"/>
    <w:rsid w:val="006126FE"/>
    <w:rsid w:val="00613CE9"/>
    <w:rsid w:val="00622A06"/>
    <w:rsid w:val="00623F47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4C9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B3825"/>
    <w:rsid w:val="007C0828"/>
    <w:rsid w:val="007C3F70"/>
    <w:rsid w:val="007C4C7A"/>
    <w:rsid w:val="007D5451"/>
    <w:rsid w:val="007D76B6"/>
    <w:rsid w:val="007F6422"/>
    <w:rsid w:val="00813515"/>
    <w:rsid w:val="008159A4"/>
    <w:rsid w:val="00816209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A63D6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2723"/>
    <w:rsid w:val="0097433A"/>
    <w:rsid w:val="00974F3D"/>
    <w:rsid w:val="00976F0C"/>
    <w:rsid w:val="0098226A"/>
    <w:rsid w:val="009823A9"/>
    <w:rsid w:val="00983853"/>
    <w:rsid w:val="009849FB"/>
    <w:rsid w:val="009A6939"/>
    <w:rsid w:val="009A7E78"/>
    <w:rsid w:val="009B0289"/>
    <w:rsid w:val="009B0E2C"/>
    <w:rsid w:val="009C29B7"/>
    <w:rsid w:val="009C6E37"/>
    <w:rsid w:val="009E0326"/>
    <w:rsid w:val="009E0D6A"/>
    <w:rsid w:val="009E12FF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A13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A6403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175FB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86DE7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466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32F"/>
    <w:rsid w:val="00D80973"/>
    <w:rsid w:val="00D87D79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2E8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A69F6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113BA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9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uiPriority w:val="22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652983-124E-B941-B879-9ACE5B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jinshubiao011@163.com</cp:lastModifiedBy>
  <cp:revision>3</cp:revision>
  <cp:lastPrinted>2013-11-12T01:54:00Z</cp:lastPrinted>
  <dcterms:created xsi:type="dcterms:W3CDTF">2023-02-14T07:38:00Z</dcterms:created>
  <dcterms:modified xsi:type="dcterms:W3CDTF">2023-03-02T03:39:00Z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