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before="240" w:beforeLines="100" w:after="240" w:afterLines="100"/>
        <w:jc w:val="center"/>
        <w:textAlignment w:val="baseline"/>
        <w:rPr>
          <w:rFonts w:ascii="微软雅黑" w:hAnsi="微软雅黑" w:eastAsia="微软雅黑" w:cs="Times New Roman"/>
          <w:b/>
          <w:sz w:val="32"/>
          <w:szCs w:val="32"/>
        </w:rPr>
      </w:pPr>
      <w:r>
        <w:rPr>
          <w:rFonts w:hint="eastAsia" w:ascii="微软雅黑" w:hAnsi="微软雅黑" w:eastAsia="微软雅黑" w:cs="Times New Roman"/>
          <w:b/>
          <w:sz w:val="32"/>
          <w:szCs w:val="32"/>
        </w:rPr>
        <w:t>【寻梦环游季】</w:t>
      </w:r>
      <w:r>
        <w:rPr>
          <w:rFonts w:ascii="微软雅黑" w:hAnsi="微软雅黑" w:eastAsia="微软雅黑" w:cs="Times New Roman"/>
          <w:b/>
          <w:sz w:val="32"/>
          <w:szCs w:val="32"/>
        </w:rPr>
        <w:t>360智慧商业×旅游业暑期重振计划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</w:t>
      </w:r>
      <w:r>
        <w:rPr>
          <w:rFonts w:hint="eastAsia" w:ascii="微软雅黑" w:hAnsi="微软雅黑" w:eastAsia="微软雅黑"/>
          <w:sz w:val="21"/>
          <w:szCs w:val="21"/>
        </w:rPr>
        <w:t>：携程、马蜂窝、途牛、中国国际航空、海南航空、中国南方航空、厦门航空、新西兰航空、全日空、荷兰航空</w:t>
      </w:r>
    </w:p>
    <w:p>
      <w:pPr>
        <w:textAlignment w:val="baseline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</w:t>
      </w:r>
      <w:r>
        <w:rPr>
          <w:rFonts w:hint="eastAsia" w:ascii="微软雅黑" w:hAnsi="微软雅黑" w:eastAsia="微软雅黑"/>
          <w:sz w:val="21"/>
          <w:szCs w:val="21"/>
        </w:rPr>
        <w:t>：旅游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业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ascii="微软雅黑" w:hAnsi="微软雅黑" w:eastAsia="微软雅黑"/>
          <w:sz w:val="21"/>
          <w:szCs w:val="21"/>
        </w:rPr>
        <w:t>2022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07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20-08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16</w:t>
      </w:r>
    </w:p>
    <w:p>
      <w:pPr>
        <w:spacing w:after="24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hint="eastAsia" w:ascii="微软雅黑" w:hAnsi="微软雅黑" w:eastAsia="微软雅黑"/>
          <w:b w:val="0"/>
          <w:bCs w:val="0"/>
          <w:color w:val="auto"/>
          <w:sz w:val="21"/>
          <w:szCs w:val="21"/>
        </w:rPr>
        <w:t>智能营销类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营销背景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2</w:t>
      </w:r>
      <w:r>
        <w:rPr>
          <w:rFonts w:ascii="微软雅黑" w:hAnsi="微软雅黑" w:eastAsia="微软雅黑"/>
          <w:sz w:val="21"/>
          <w:szCs w:val="21"/>
        </w:rPr>
        <w:t>0</w:t>
      </w:r>
      <w:r>
        <w:rPr>
          <w:rFonts w:hint="eastAsia" w:ascii="微软雅黑" w:hAnsi="微软雅黑" w:eastAsia="微软雅黑"/>
          <w:sz w:val="21"/>
          <w:szCs w:val="21"/>
        </w:rPr>
        <w:t>2</w:t>
      </w:r>
      <w:r>
        <w:rPr>
          <w:rFonts w:ascii="微软雅黑" w:hAnsi="微软雅黑" w:eastAsia="微软雅黑"/>
          <w:sz w:val="21"/>
          <w:szCs w:val="21"/>
        </w:rPr>
        <w:t>2</w:t>
      </w:r>
      <w:r>
        <w:rPr>
          <w:rFonts w:hint="eastAsia" w:ascii="微软雅黑" w:hAnsi="微软雅黑" w:eastAsia="微软雅黑"/>
          <w:sz w:val="21"/>
          <w:szCs w:val="21"/>
        </w:rPr>
        <w:t>年国内疫情间歇性好转，旅游业伴随阵痛。随着</w:t>
      </w:r>
      <w:r>
        <w:rPr>
          <w:rFonts w:ascii="微软雅黑" w:hAnsi="微软雅黑" w:eastAsia="微软雅黑"/>
          <w:sz w:val="21"/>
          <w:szCs w:val="21"/>
        </w:rPr>
        <w:t>6</w:t>
      </w:r>
      <w:r>
        <w:rPr>
          <w:rFonts w:hint="eastAsia" w:ascii="微软雅黑" w:hAnsi="微软雅黑" w:eastAsia="微软雅黑"/>
          <w:sz w:val="21"/>
          <w:szCs w:val="21"/>
        </w:rPr>
        <w:t>月上海解封，行政卡取消等多项政策，3</w:t>
      </w:r>
      <w:r>
        <w:rPr>
          <w:rFonts w:ascii="微软雅黑" w:hAnsi="微软雅黑" w:eastAsia="微软雅黑"/>
          <w:sz w:val="21"/>
          <w:szCs w:val="21"/>
        </w:rPr>
        <w:t>60</w:t>
      </w:r>
      <w:r>
        <w:rPr>
          <w:rFonts w:hint="eastAsia" w:ascii="微软雅黑" w:hAnsi="微软雅黑" w:eastAsia="微软雅黑"/>
          <w:sz w:val="21"/>
          <w:szCs w:val="21"/>
        </w:rPr>
        <w:t>用户旅游出行检索呈上升趋势，用户出行意愿强烈，暑期黄金周期，报复性旅游消费大潮蓄势待发。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1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.</w:t>
      </w:r>
      <w:r>
        <w:rPr>
          <w:rFonts w:hint="eastAsia" w:ascii="微软雅黑" w:hAnsi="微软雅黑" w:eastAsia="微软雅黑"/>
          <w:color w:val="000000"/>
          <w:sz w:val="21"/>
          <w:szCs w:val="21"/>
        </w:rPr>
        <w:t>【用户】厚积薄发，未来三个月，人们对旅游的消费意愿规划占比排名前列。</w:t>
      </w:r>
    </w:p>
    <w:p>
      <w:pPr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drawing>
          <wp:inline distT="0" distB="0" distL="0" distR="0">
            <wp:extent cx="4265295" cy="239903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0250" cy="240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2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.</w:t>
      </w:r>
      <w:r>
        <w:rPr>
          <w:rFonts w:hint="eastAsia" w:ascii="微软雅黑" w:hAnsi="微软雅黑" w:eastAsia="微软雅黑"/>
          <w:color w:val="000000"/>
          <w:sz w:val="21"/>
          <w:szCs w:val="21"/>
        </w:rPr>
        <w:t>【政策】多项政策扶持，鼓励重振旅游业信心。</w:t>
      </w:r>
    </w:p>
    <w:p>
      <w:pPr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drawing>
          <wp:inline distT="0" distB="0" distL="0" distR="0">
            <wp:extent cx="4631690" cy="260540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2663" cy="2611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hint="eastAsia" w:ascii="微软雅黑" w:hAnsi="微软雅黑" w:eastAsia="微软雅黑"/>
          <w:color w:val="000000"/>
          <w:sz w:val="21"/>
          <w:szCs w:val="21"/>
        </w:rPr>
        <w:t>3</w:t>
      </w:r>
      <w:r>
        <w:rPr>
          <w:rFonts w:hint="eastAsia" w:ascii="微软雅黑" w:hAnsi="微软雅黑" w:eastAsia="微软雅黑"/>
          <w:color w:val="000000"/>
          <w:sz w:val="21"/>
          <w:szCs w:val="21"/>
          <w:lang w:val="en-US" w:eastAsia="zh-CN"/>
        </w:rPr>
        <w:t>.</w:t>
      </w:r>
      <w:r>
        <w:rPr>
          <w:rFonts w:hint="eastAsia" w:ascii="微软雅黑" w:hAnsi="微软雅黑" w:eastAsia="微软雅黑"/>
          <w:color w:val="000000"/>
          <w:sz w:val="21"/>
          <w:szCs w:val="21"/>
        </w:rPr>
        <w:t>【行业】后疫情时代，旅游广告主需要重新唤醒用户的品牌认知。</w:t>
      </w:r>
    </w:p>
    <w:p>
      <w:pPr>
        <w:spacing w:before="100" w:beforeAutospacing="1" w:after="100" w:afterAutospacing="1"/>
        <w:jc w:val="center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drawing>
          <wp:inline distT="0" distB="0" distL="0" distR="0">
            <wp:extent cx="5015865" cy="282130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5023" cy="282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营销目标</w:t>
      </w:r>
    </w:p>
    <w:p>
      <w:pPr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1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.</w:t>
      </w:r>
      <w:r>
        <w:rPr>
          <w:rFonts w:hint="eastAsia" w:ascii="微软雅黑" w:hAnsi="微软雅黑" w:eastAsia="微软雅黑"/>
          <w:sz w:val="21"/>
          <w:szCs w:val="21"/>
        </w:rPr>
        <w:t>品宣：提升旅游客户行业曝光度，重新唤起用户旅游品牌认知。</w:t>
      </w:r>
    </w:p>
    <w:p>
      <w:pPr>
        <w:spacing w:before="100" w:beforeAutospacing="1" w:after="100" w:afterAutospacing="1"/>
        <w:rPr>
          <w:rFonts w:hint="eastAsia"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2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.</w:t>
      </w:r>
      <w:r>
        <w:rPr>
          <w:rFonts w:hint="eastAsia" w:ascii="微软雅黑" w:hAnsi="微软雅黑" w:eastAsia="微软雅黑"/>
          <w:sz w:val="21"/>
          <w:szCs w:val="21"/>
        </w:rPr>
        <w:t>转化：PC浏览，移动加粉下单双链路打通，提升订单转化。</w:t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策略与创意</w:t>
      </w:r>
    </w:p>
    <w:p>
      <w:pPr>
        <w:spacing w:before="100" w:beforeAutospacing="1" w:after="100" w:afterAutospacing="1"/>
        <w:rPr>
          <w:rFonts w:hint="eastAsia"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案例视频：</w:t>
      </w:r>
      <w:r>
        <w:rPr>
          <w:rFonts w:hint="eastAsia" w:ascii="微软雅黑" w:hAnsi="微软雅黑" w:eastAsia="微软雅黑"/>
          <w:b/>
          <w:sz w:val="21"/>
          <w:szCs w:val="21"/>
        </w:rPr>
        <w:fldChar w:fldCharType="begin"/>
      </w:r>
      <w:r>
        <w:rPr>
          <w:rFonts w:hint="eastAsia" w:ascii="微软雅黑" w:hAnsi="微软雅黑" w:eastAsia="微软雅黑"/>
          <w:b/>
          <w:sz w:val="21"/>
          <w:szCs w:val="21"/>
        </w:rPr>
        <w:instrText xml:space="preserve"> HYPERLINK "https://v.youku.com/v_show/id_XNTkzOTIzNTc2OA==.html" </w:instrText>
      </w:r>
      <w:r>
        <w:rPr>
          <w:rFonts w:hint="eastAsia" w:ascii="微软雅黑" w:hAnsi="微软雅黑" w:eastAsia="微软雅黑"/>
          <w:b/>
          <w:sz w:val="21"/>
          <w:szCs w:val="21"/>
        </w:rPr>
        <w:fldChar w:fldCharType="separate"/>
      </w:r>
      <w:r>
        <w:rPr>
          <w:rStyle w:val="19"/>
          <w:rFonts w:hint="eastAsia" w:ascii="微软雅黑" w:hAnsi="微软雅黑" w:eastAsia="微软雅黑"/>
          <w:b/>
          <w:sz w:val="21"/>
          <w:szCs w:val="21"/>
        </w:rPr>
        <w:t>https://v.youku.com/v_show/id_XNTkzOTIzNTc2OA==.html</w:t>
      </w:r>
      <w:r>
        <w:rPr>
          <w:rFonts w:hint="eastAsia" w:ascii="微软雅黑" w:hAnsi="微软雅黑" w:eastAsia="微软雅黑"/>
          <w:b/>
          <w:sz w:val="21"/>
          <w:szCs w:val="21"/>
        </w:rPr>
        <w:fldChar w:fldCharType="end"/>
      </w:r>
      <w:bookmarkStart w:id="0" w:name="_GoBack"/>
      <w:bookmarkEnd w:id="0"/>
    </w:p>
    <w:p>
      <w:pPr>
        <w:spacing w:before="100" w:beforeAutospacing="1" w:after="100" w:afterAutospacing="1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1</w:t>
      </w:r>
      <w:r>
        <w:rPr>
          <w:rFonts w:hint="eastAsia" w:ascii="微软雅黑" w:hAnsi="微软雅黑" w:eastAsia="微软雅黑"/>
          <w:b/>
          <w:sz w:val="21"/>
          <w:szCs w:val="21"/>
          <w:lang w:val="en-US" w:eastAsia="zh-CN"/>
        </w:rPr>
        <w:t>.</w:t>
      </w:r>
      <w:r>
        <w:rPr>
          <w:rFonts w:hint="eastAsia" w:ascii="微软雅黑" w:hAnsi="微软雅黑" w:eastAsia="微软雅黑"/>
          <w:b/>
          <w:sz w:val="21"/>
          <w:szCs w:val="21"/>
        </w:rPr>
        <w:t>【营销时机】</w:t>
      </w:r>
    </w:p>
    <w:p>
      <w:pPr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利用3</w:t>
      </w:r>
      <w:r>
        <w:rPr>
          <w:rFonts w:ascii="微软雅黑" w:hAnsi="微软雅黑" w:eastAsia="微软雅黑"/>
          <w:sz w:val="21"/>
          <w:szCs w:val="21"/>
        </w:rPr>
        <w:t>60</w:t>
      </w:r>
      <w:r>
        <w:rPr>
          <w:rFonts w:hint="eastAsia" w:ascii="微软雅黑" w:hAnsi="微软雅黑" w:eastAsia="微软雅黑"/>
          <w:sz w:val="21"/>
          <w:szCs w:val="21"/>
        </w:rPr>
        <w:t>大数据能力精准洞察疫情下旅游行业市场波动，结合疫情现状，以及暑期热潮，用户旅行心理洞察定制大型旅游营销活动，为重振行业做出重要助力。</w:t>
      </w:r>
    </w:p>
    <w:p>
      <w:pPr>
        <w:spacing w:before="100" w:beforeAutospacing="1" w:after="100" w:afterAutospacing="1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2</w:t>
      </w:r>
      <w:r>
        <w:rPr>
          <w:rFonts w:hint="eastAsia" w:ascii="微软雅黑" w:hAnsi="微软雅黑" w:eastAsia="微软雅黑"/>
          <w:b/>
          <w:sz w:val="21"/>
          <w:szCs w:val="21"/>
          <w:lang w:val="en-US" w:eastAsia="zh-CN"/>
        </w:rPr>
        <w:t>.</w:t>
      </w:r>
      <w:r>
        <w:rPr>
          <w:rFonts w:hint="eastAsia" w:ascii="微软雅黑" w:hAnsi="微软雅黑" w:eastAsia="微软雅黑"/>
          <w:b/>
          <w:sz w:val="21"/>
          <w:szCs w:val="21"/>
        </w:rPr>
        <w:t>【吸睛大屏】</w:t>
      </w:r>
    </w:p>
    <w:p>
      <w:pPr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利用3</w:t>
      </w:r>
      <w:r>
        <w:rPr>
          <w:rFonts w:ascii="微软雅黑" w:hAnsi="微软雅黑" w:eastAsia="微软雅黑"/>
          <w:sz w:val="21"/>
          <w:szCs w:val="21"/>
        </w:rPr>
        <w:t>60</w:t>
      </w:r>
      <w:r>
        <w:rPr>
          <w:rFonts w:hint="eastAsia" w:ascii="微软雅黑" w:hAnsi="微软雅黑" w:eastAsia="微软雅黑"/>
          <w:sz w:val="21"/>
          <w:szCs w:val="21"/>
        </w:rPr>
        <w:t>锁屏画报得天独厚的产品优势，为黄金八小时下的办公人群，传达优质旅行产品，集合大屏优势，沉浸式影响目标用户，深度提升旅行冲动。</w:t>
      </w:r>
    </w:p>
    <w:p>
      <w:pPr>
        <w:spacing w:before="100" w:beforeAutospacing="1" w:after="100" w:afterAutospacing="1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3</w:t>
      </w:r>
      <w:r>
        <w:rPr>
          <w:rFonts w:hint="eastAsia" w:ascii="微软雅黑" w:hAnsi="微软雅黑" w:eastAsia="微软雅黑"/>
          <w:b/>
          <w:sz w:val="21"/>
          <w:szCs w:val="21"/>
          <w:lang w:val="en-US" w:eastAsia="zh-CN"/>
        </w:rPr>
        <w:t>.</w:t>
      </w:r>
      <w:r>
        <w:rPr>
          <w:rFonts w:hint="eastAsia" w:ascii="微软雅黑" w:hAnsi="微软雅黑" w:eastAsia="微软雅黑"/>
          <w:b/>
          <w:sz w:val="21"/>
          <w:szCs w:val="21"/>
        </w:rPr>
        <w:t>【战略布局】</w:t>
      </w:r>
    </w:p>
    <w:p>
      <w:pPr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深度定制3大营销主线：城市周边游+国内游+出境游，用户可自由选择旅行线路，同时旅行产品供应商亦可最大化保障，重振行业信心。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执行过程/媒体表现</w:t>
      </w:r>
    </w:p>
    <w:p>
      <w:pPr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360</w:t>
      </w:r>
      <w:r>
        <w:rPr>
          <w:rFonts w:hint="eastAsia" w:ascii="微软雅黑" w:hAnsi="微软雅黑" w:eastAsia="微软雅黑"/>
          <w:sz w:val="21"/>
          <w:szCs w:val="21"/>
        </w:rPr>
        <w:t>智慧商业整合OTA</w:t>
      </w:r>
      <w:r>
        <w:rPr>
          <w:rFonts w:ascii="微软雅黑" w:hAnsi="微软雅黑" w:eastAsia="微软雅黑"/>
          <w:sz w:val="21"/>
          <w:szCs w:val="21"/>
        </w:rPr>
        <w:t>&amp;</w:t>
      </w:r>
      <w:r>
        <w:rPr>
          <w:rFonts w:hint="eastAsia" w:ascii="微软雅黑" w:hAnsi="微软雅黑" w:eastAsia="微软雅黑"/>
          <w:sz w:val="21"/>
          <w:szCs w:val="21"/>
        </w:rPr>
        <w:t>航司，全阵容出击，利用3</w:t>
      </w:r>
      <w:r>
        <w:rPr>
          <w:rFonts w:ascii="微软雅黑" w:hAnsi="微软雅黑" w:eastAsia="微软雅黑"/>
          <w:sz w:val="21"/>
          <w:szCs w:val="21"/>
        </w:rPr>
        <w:t>60</w:t>
      </w:r>
      <w:r>
        <w:rPr>
          <w:rFonts w:hint="eastAsia" w:ascii="微软雅黑" w:hAnsi="微软雅黑" w:eastAsia="微软雅黑"/>
          <w:sz w:val="21"/>
          <w:szCs w:val="21"/>
        </w:rPr>
        <w:t>锁屏画报精美素材唤起人们对旅行的渴望，承接暑期出游热潮，同时提升品牌的影响力和好感度。OTA</w:t>
      </w:r>
      <w:r>
        <w:rPr>
          <w:rFonts w:ascii="微软雅黑" w:hAnsi="微软雅黑" w:eastAsia="微软雅黑"/>
          <w:sz w:val="21"/>
          <w:szCs w:val="21"/>
        </w:rPr>
        <w:t>&amp;</w:t>
      </w:r>
      <w:r>
        <w:rPr>
          <w:rFonts w:hint="eastAsia" w:ascii="微软雅黑" w:hAnsi="微软雅黑" w:eastAsia="微软雅黑"/>
          <w:sz w:val="21"/>
          <w:szCs w:val="21"/>
        </w:rPr>
        <w:t>航司保守和开放策略双管齐下，因势而行。</w:t>
      </w:r>
    </w:p>
    <w:p>
      <w:pPr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OTA</w:t>
      </w:r>
      <w:r>
        <w:rPr>
          <w:rFonts w:hint="eastAsia" w:ascii="微软雅黑" w:hAnsi="微软雅黑" w:eastAsia="微软雅黑"/>
          <w:sz w:val="21"/>
          <w:szCs w:val="21"/>
        </w:rPr>
        <w:t>：主打城市周边游，</w:t>
      </w:r>
      <w:r>
        <w:rPr>
          <w:rFonts w:ascii="微软雅黑" w:hAnsi="微软雅黑" w:eastAsia="微软雅黑"/>
          <w:sz w:val="21"/>
          <w:szCs w:val="21"/>
        </w:rPr>
        <w:t>360</w:t>
      </w:r>
      <w:r>
        <w:rPr>
          <w:rFonts w:hint="eastAsia" w:ascii="微软雅黑" w:hAnsi="微软雅黑" w:eastAsia="微软雅黑"/>
          <w:sz w:val="21"/>
          <w:szCs w:val="21"/>
        </w:rPr>
        <w:t>大数据平台精准锁定目标人群，区域定向圈定周边游核心人群。</w:t>
      </w:r>
    </w:p>
    <w:p>
      <w:pPr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航司</w:t>
      </w:r>
      <w:r>
        <w:rPr>
          <w:rFonts w:hint="eastAsia" w:ascii="微软雅黑" w:hAnsi="微软雅黑" w:eastAsia="微软雅黑"/>
          <w:sz w:val="21"/>
          <w:szCs w:val="21"/>
        </w:rPr>
        <w:t>：开放策略，主打全国范围，唤起用户飞机出行的意识。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drawing>
          <wp:inline distT="0" distB="0" distL="0" distR="0">
            <wp:extent cx="5720715" cy="321818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rPr>
          <w:rFonts w:ascii="微软雅黑" w:hAnsi="微软雅黑" w:eastAsia="微软雅黑"/>
          <w:bCs/>
          <w:sz w:val="21"/>
          <w:szCs w:val="21"/>
        </w:rPr>
      </w:pPr>
      <w:r>
        <w:rPr>
          <w:rFonts w:ascii="微软雅黑" w:hAnsi="微软雅黑" w:eastAsia="微软雅黑"/>
          <w:bCs/>
          <w:sz w:val="21"/>
          <w:szCs w:val="21"/>
        </w:rPr>
        <w:t>1</w:t>
      </w:r>
      <w:r>
        <w:rPr>
          <w:rFonts w:hint="eastAsia" w:ascii="微软雅黑" w:hAnsi="微软雅黑" w:eastAsia="微软雅黑"/>
          <w:bCs/>
          <w:sz w:val="21"/>
          <w:szCs w:val="21"/>
          <w:lang w:val="en-US" w:eastAsia="zh-CN"/>
        </w:rPr>
        <w:t>.</w:t>
      </w:r>
      <w:r>
        <w:rPr>
          <w:rFonts w:hint="eastAsia" w:ascii="微软雅黑" w:hAnsi="微软雅黑" w:eastAsia="微软雅黑"/>
          <w:bCs/>
          <w:sz w:val="21"/>
          <w:szCs w:val="21"/>
        </w:rPr>
        <w:t>OTA：以景点图吸引目标用户，如：乌镇场景，3</w:t>
      </w:r>
      <w:r>
        <w:rPr>
          <w:rFonts w:ascii="微软雅黑" w:hAnsi="微软雅黑" w:eastAsia="微软雅黑"/>
          <w:bCs/>
          <w:sz w:val="21"/>
          <w:szCs w:val="21"/>
        </w:rPr>
        <w:t>60</w:t>
      </w:r>
      <w:r>
        <w:rPr>
          <w:rFonts w:hint="eastAsia" w:ascii="微软雅黑" w:hAnsi="微软雅黑" w:eastAsia="微软雅黑"/>
          <w:bCs/>
          <w:sz w:val="21"/>
          <w:szCs w:val="21"/>
        </w:rPr>
        <w:t>锁屏广告大屏沉浸式感受乌镇水乡，圈定浙江人群；海昌公园，极为舒适的湛蓝的景区图，激发上海周末家庭旅行冲动。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drawing>
          <wp:inline distT="0" distB="0" distL="0" distR="0">
            <wp:extent cx="5720715" cy="321818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2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.</w:t>
      </w:r>
      <w:r>
        <w:rPr>
          <w:rFonts w:hint="eastAsia" w:ascii="微软雅黑" w:hAnsi="微软雅黑" w:eastAsia="微软雅黑"/>
          <w:bCs/>
          <w:sz w:val="21"/>
          <w:szCs w:val="21"/>
        </w:rPr>
        <w:t>国内航司：国内航司全国“空投”行动，开启全民飞行模式。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drawing>
          <wp:inline distT="0" distB="0" distL="0" distR="0">
            <wp:extent cx="5720715" cy="321818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rPr>
          <w:rFonts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bCs/>
          <w:sz w:val="21"/>
          <w:szCs w:val="21"/>
        </w:rPr>
        <w:t>3</w:t>
      </w:r>
      <w:r>
        <w:rPr>
          <w:rFonts w:hint="eastAsia" w:ascii="微软雅黑" w:hAnsi="微软雅黑" w:eastAsia="微软雅黑"/>
          <w:bCs/>
          <w:sz w:val="21"/>
          <w:szCs w:val="21"/>
          <w:lang w:val="en-US" w:eastAsia="zh-CN"/>
        </w:rPr>
        <w:t>.</w:t>
      </w:r>
      <w:r>
        <w:rPr>
          <w:rFonts w:hint="eastAsia" w:ascii="微软雅黑" w:hAnsi="微软雅黑" w:eastAsia="微软雅黑"/>
          <w:bCs/>
          <w:sz w:val="21"/>
          <w:szCs w:val="21"/>
        </w:rPr>
        <w:t>境外航司：新西兰航空、全日空、荷兰航空，通过画报唤醒人们对新西兰、日本、荷兰等境外目的地的旅行渴望，重新与世界连接。</w:t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drawing>
          <wp:inline distT="0" distB="0" distL="0" distR="0">
            <wp:extent cx="5720715" cy="321818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营销效果与市场反馈</w:t>
      </w:r>
    </w:p>
    <w:p>
      <w:pPr>
        <w:spacing w:before="100" w:beforeAutospacing="1" w:after="100" w:afterAutospacing="1"/>
        <w:rPr>
          <w:rFonts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1</w:t>
      </w:r>
      <w:r>
        <w:rPr>
          <w:rFonts w:hint="eastAsia" w:ascii="微软雅黑" w:hAnsi="微软雅黑" w:eastAsia="微软雅黑"/>
          <w:b/>
          <w:sz w:val="21"/>
          <w:szCs w:val="21"/>
          <w:lang w:val="en-US" w:eastAsia="zh-CN"/>
        </w:rPr>
        <w:t>.</w:t>
      </w:r>
      <w:r>
        <w:rPr>
          <w:rFonts w:hint="eastAsia" w:ascii="微软雅黑" w:hAnsi="微软雅黑" w:eastAsia="微软雅黑"/>
          <w:b/>
          <w:sz w:val="21"/>
          <w:szCs w:val="21"/>
        </w:rPr>
        <w:t>品牌总曝光：</w:t>
      </w:r>
      <w:r>
        <w:rPr>
          <w:rFonts w:hint="eastAsia" w:ascii="微软雅黑" w:hAnsi="微软雅黑" w:eastAsia="微软雅黑"/>
          <w:bCs/>
          <w:sz w:val="21"/>
          <w:szCs w:val="21"/>
        </w:rPr>
        <w:t>1.2亿+</w:t>
      </w:r>
    </w:p>
    <w:p>
      <w:pPr>
        <w:spacing w:before="100" w:beforeAutospacing="1" w:after="100" w:afterAutospacing="1"/>
        <w:rPr>
          <w:rFonts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2</w:t>
      </w:r>
      <w:r>
        <w:rPr>
          <w:rFonts w:hint="eastAsia" w:ascii="微软雅黑" w:hAnsi="微软雅黑" w:eastAsia="微软雅黑"/>
          <w:b/>
          <w:sz w:val="21"/>
          <w:szCs w:val="21"/>
          <w:lang w:val="en-US" w:eastAsia="zh-CN"/>
        </w:rPr>
        <w:t>.</w:t>
      </w:r>
      <w:r>
        <w:rPr>
          <w:rFonts w:hint="eastAsia" w:ascii="微软雅黑" w:hAnsi="微软雅黑" w:eastAsia="微软雅黑"/>
          <w:b/>
          <w:sz w:val="21"/>
          <w:szCs w:val="21"/>
        </w:rPr>
        <w:t>PC端落地页+移动扫码：</w:t>
      </w:r>
      <w:r>
        <w:rPr>
          <w:rFonts w:hint="eastAsia" w:ascii="微软雅黑" w:hAnsi="微软雅黑" w:eastAsia="微软雅黑"/>
          <w:bCs/>
          <w:sz w:val="21"/>
          <w:szCs w:val="21"/>
        </w:rPr>
        <w:t>双端承接流量，转化量提升20%</w:t>
      </w:r>
    </w:p>
    <w:p>
      <w:pPr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5720715" cy="321818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drawing>
          <wp:inline distT="0" distB="0" distL="0" distR="0">
            <wp:extent cx="5755005" cy="3511550"/>
            <wp:effectExtent l="0" t="0" r="17145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4" t="4736" r="2498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footerReference r:id="rId5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</w:p>
  <w:p>
    <w:pPr>
      <w:pStyle w:val="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  <w:r>
      <w:fldChar w:fldCharType="begin"/>
    </w:r>
    <w:r>
      <w:rPr>
        <w:rStyle w:val="16"/>
      </w:rPr>
      <w:instrText xml:space="preserve">PAGE  </w:instrText>
    </w:r>
    <w:r>
      <w:fldChar w:fldCharType="separate"/>
    </w:r>
    <w:r>
      <w:rPr>
        <w:rStyle w:val="16"/>
      </w:rPr>
      <w:t>1</w:t>
    </w:r>
    <w:r>
      <w:fldChar w:fldCharType="end"/>
    </w:r>
  </w:p>
  <w:p>
    <w:pPr>
      <w:pStyle w:val="7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14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c0OGU4OWUyMzhmZTI5N2I5YWVhZjVjNzgxYWMyZmQ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599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524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443C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4B51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1378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C03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226A8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A4B2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1203F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54C9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21FB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287B"/>
    <w:rsid w:val="00DC32E7"/>
    <w:rsid w:val="00DC397E"/>
    <w:rsid w:val="00DD56E4"/>
    <w:rsid w:val="00DD7EA0"/>
    <w:rsid w:val="00DE76F1"/>
    <w:rsid w:val="00DF55BD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23FD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4C25F5E"/>
    <w:rsid w:val="12731535"/>
    <w:rsid w:val="3FC5716F"/>
    <w:rsid w:val="61642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4">
    <w:name w:val="Default Paragraph Font"/>
    <w:semiHidden/>
    <w:unhideWhenUsed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30"/>
    <w:semiHidden/>
    <w:unhideWhenUsed/>
    <w:qFormat/>
    <w:uiPriority w:val="99"/>
  </w:style>
  <w:style w:type="paragraph" w:styleId="4">
    <w:name w:val="Body Text Indent"/>
    <w:basedOn w:val="1"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5">
    <w:name w:val="Plain Text"/>
    <w:basedOn w:val="1"/>
    <w:uiPriority w:val="0"/>
    <w:rPr>
      <w:rFonts w:ascii="Arial" w:hAnsi="Arial" w:cs="Times New Roman"/>
      <w:sz w:val="18"/>
      <w:szCs w:val="20"/>
    </w:rPr>
  </w:style>
  <w:style w:type="paragraph" w:styleId="6">
    <w:name w:val="Balloon Text"/>
    <w:basedOn w:val="1"/>
    <w:link w:val="29"/>
    <w:semiHidden/>
    <w:unhideWhenUsed/>
    <w:uiPriority w:val="99"/>
    <w:rPr>
      <w:sz w:val="18"/>
      <w:szCs w:val="18"/>
    </w:rPr>
  </w:style>
  <w:style w:type="paragraph" w:styleId="7">
    <w:name w:val="footer"/>
    <w:basedOn w:val="1"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header"/>
    <w:basedOn w:val="1"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9">
    <w:name w:val="Normal (Web)"/>
    <w:basedOn w:val="1"/>
    <w:qFormat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10">
    <w:name w:val="Title"/>
    <w:basedOn w:val="1"/>
    <w:link w:val="21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11">
    <w:name w:val="annotation subject"/>
    <w:basedOn w:val="3"/>
    <w:next w:val="3"/>
    <w:link w:val="31"/>
    <w:semiHidden/>
    <w:unhideWhenUsed/>
    <w:qFormat/>
    <w:uiPriority w:val="99"/>
    <w:rPr>
      <w:b/>
      <w:bCs/>
    </w:rPr>
  </w:style>
  <w:style w:type="table" w:styleId="13">
    <w:name w:val="Table Grid"/>
    <w:basedOn w:val="12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5">
    <w:name w:val="Strong"/>
    <w:basedOn w:val="14"/>
    <w:qFormat/>
    <w:uiPriority w:val="0"/>
    <w:rPr>
      <w:b/>
    </w:rPr>
  </w:style>
  <w:style w:type="character" w:styleId="16">
    <w:name w:val="page number"/>
    <w:basedOn w:val="14"/>
    <w:qFormat/>
    <w:uiPriority w:val="0"/>
  </w:style>
  <w:style w:type="character" w:styleId="17">
    <w:name w:val="FollowedHyperlink"/>
    <w:basedOn w:val="14"/>
    <w:semiHidden/>
    <w:unhideWhenUsed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8">
    <w:name w:val="Emphasis"/>
    <w:basedOn w:val="14"/>
    <w:qFormat/>
    <w:uiPriority w:val="0"/>
    <w:rPr>
      <w:i/>
    </w:rPr>
  </w:style>
  <w:style w:type="character" w:styleId="19">
    <w:name w:val="Hyperlink"/>
    <w:basedOn w:val="14"/>
    <w:uiPriority w:val="0"/>
    <w:rPr>
      <w:color w:val="0000FF"/>
      <w:u w:val="single"/>
    </w:rPr>
  </w:style>
  <w:style w:type="character" w:styleId="20">
    <w:name w:val="annotation reference"/>
    <w:basedOn w:val="14"/>
    <w:semiHidden/>
    <w:unhideWhenUsed/>
    <w:uiPriority w:val="99"/>
    <w:rPr>
      <w:sz w:val="21"/>
      <w:szCs w:val="21"/>
    </w:rPr>
  </w:style>
  <w:style w:type="character" w:customStyle="1" w:styleId="21">
    <w:name w:val="标题 字符"/>
    <w:basedOn w:val="14"/>
    <w:link w:val="10"/>
    <w:uiPriority w:val="0"/>
    <w:rPr>
      <w:b/>
      <w:sz w:val="28"/>
      <w:lang w:eastAsia="en-US"/>
    </w:rPr>
  </w:style>
  <w:style w:type="character" w:customStyle="1" w:styleId="22">
    <w:name w:val="bottom1"/>
    <w:basedOn w:val="14"/>
    <w:uiPriority w:val="0"/>
    <w:rPr>
      <w:color w:val="6E6E6E"/>
    </w:rPr>
  </w:style>
  <w:style w:type="character" w:customStyle="1" w:styleId="23">
    <w:name w:val="apple-converted-space"/>
    <w:basedOn w:val="14"/>
    <w:uiPriority w:val="0"/>
  </w:style>
  <w:style w:type="character" w:customStyle="1" w:styleId="24">
    <w:name w:val="apple-style-span"/>
    <w:basedOn w:val="14"/>
    <w:qFormat/>
    <w:uiPriority w:val="0"/>
  </w:style>
  <w:style w:type="paragraph" w:styleId="25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6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7">
    <w:name w:val="css"/>
    <w:basedOn w:val="1"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8">
    <w:name w:val="清單段落"/>
    <w:basedOn w:val="1"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9">
    <w:name w:val="批注框文本 字符"/>
    <w:basedOn w:val="14"/>
    <w:link w:val="6"/>
    <w:semiHidden/>
    <w:uiPriority w:val="99"/>
    <w:rPr>
      <w:kern w:val="2"/>
      <w:sz w:val="18"/>
      <w:szCs w:val="18"/>
    </w:rPr>
  </w:style>
  <w:style w:type="character" w:customStyle="1" w:styleId="30">
    <w:name w:val="批注文字 字符"/>
    <w:basedOn w:val="14"/>
    <w:link w:val="3"/>
    <w:semiHidden/>
    <w:qFormat/>
    <w:uiPriority w:val="99"/>
    <w:rPr>
      <w:rFonts w:ascii="宋体" w:hAnsi="宋体" w:cs="宋体"/>
      <w:sz w:val="24"/>
      <w:szCs w:val="24"/>
    </w:rPr>
  </w:style>
  <w:style w:type="character" w:customStyle="1" w:styleId="31">
    <w:name w:val="批注主题 字符"/>
    <w:basedOn w:val="30"/>
    <w:link w:val="11"/>
    <w:semiHidden/>
    <w:uiPriority w:val="99"/>
    <w:rPr>
      <w:rFonts w:ascii="宋体" w:hAnsi="宋体" w:cs="宋体"/>
      <w:b/>
      <w:bCs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0774FA4-EC43-4719-8869-6F6BFB5F074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5</Pages>
  <Words>923</Words>
  <Characters>1039</Characters>
  <Lines>10</Lines>
  <Paragraphs>2</Paragraphs>
  <TotalTime>3</TotalTime>
  <ScaleCrop>false</ScaleCrop>
  <LinksUpToDate>false</LinksUpToDate>
  <CharactersWithSpaces>1042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2015-11-23T07:28:00Z</dcterms:created>
  <dc:creator>雨林木风</dc:creator>
  <cp:lastModifiedBy>熊梦洋</cp:lastModifiedBy>
  <cp:lastPrinted>2012-10-11T08:46:00Z</cp:lastPrinted>
  <dcterms:modified xsi:type="dcterms:W3CDTF">2023-02-24T01:00:04Z</dcterms:modified>
  <dc:title>No</dc:title>
  <cp:revision>67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00B20195CF924B77A50A4E8D59C08DAE</vt:lpwstr>
  </property>
</Properties>
</file>