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/>
        <w:jc w:val="center"/>
        <w:textAlignment w:val="baseline"/>
        <w:rPr>
          <w:rFonts w:ascii="微软雅黑" w:hAnsi="微软雅黑" w:eastAsia="微软雅黑"/>
          <w:b/>
          <w:kern w:val="0"/>
          <w:sz w:val="32"/>
          <w:szCs w:val="32"/>
        </w:rPr>
      </w:pPr>
      <w:r>
        <w:rPr>
          <w:rFonts w:hint="eastAsia" w:ascii="微软雅黑" w:hAnsi="微软雅黑" w:eastAsia="微软雅黑"/>
          <w:b/>
          <w:kern w:val="0"/>
          <w:sz w:val="32"/>
          <w:szCs w:val="32"/>
        </w:rPr>
        <w:t>3</w:t>
      </w:r>
      <w:r>
        <w:rPr>
          <w:rFonts w:ascii="微软雅黑" w:hAnsi="微软雅黑" w:eastAsia="微软雅黑"/>
          <w:b/>
          <w:kern w:val="0"/>
          <w:sz w:val="32"/>
          <w:szCs w:val="32"/>
        </w:rPr>
        <w:t>60</w:t>
      </w:r>
      <w:r>
        <w:rPr>
          <w:rFonts w:hint="eastAsia" w:ascii="微软雅黑" w:hAnsi="微软雅黑" w:eastAsia="微软雅黑"/>
          <w:b/>
          <w:kern w:val="0"/>
          <w:sz w:val="32"/>
          <w:szCs w:val="32"/>
        </w:rPr>
        <w:t>PC锁屏画报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报送公司：</w:t>
      </w:r>
      <w:r>
        <w:rPr>
          <w:rFonts w:hint="eastAsia" w:ascii="微软雅黑" w:hAnsi="微软雅黑" w:eastAsia="微软雅黑"/>
        </w:rPr>
        <w:t>3</w:t>
      </w:r>
      <w:r>
        <w:rPr>
          <w:rFonts w:ascii="微软雅黑" w:hAnsi="微软雅黑" w:eastAsia="微软雅黑"/>
        </w:rPr>
        <w:t>60</w:t>
      </w:r>
      <w:r>
        <w:rPr>
          <w:rFonts w:hint="eastAsia" w:ascii="微软雅黑" w:hAnsi="微软雅黑" w:eastAsia="微软雅黑"/>
        </w:rPr>
        <w:t>智慧商业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color w:val="auto"/>
        </w:rPr>
        <w:t>年度最佳数字营销工具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3</w:t>
      </w:r>
      <w:r>
        <w:rPr>
          <w:rFonts w:ascii="微软雅黑" w:hAnsi="微软雅黑" w:eastAsia="微软雅黑"/>
          <w:b/>
        </w:rPr>
        <w:t>60</w:t>
      </w:r>
      <w:r>
        <w:rPr>
          <w:rFonts w:hint="eastAsia" w:ascii="微软雅黑" w:hAnsi="微软雅黑" w:eastAsia="微软雅黑"/>
          <w:b/>
        </w:rPr>
        <w:t>PC锁屏画报 —— 直达3亿上班族，高价值的营销阵地</w:t>
      </w:r>
      <w:r>
        <w:rPr>
          <w:rFonts w:hint="eastAsia" w:ascii="微软雅黑" w:hAnsi="微软雅黑" w:eastAsia="微软雅黑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spacing w:val="15"/>
          <w:shd w:val="clear" w:color="auto" w:fill="FFFFFF"/>
        </w:rPr>
        <w:t>2020年疫情开始后，PC电脑作为消费电子产品的一枝独秀，出货量展示出回暖态势。居家办公、线上教育等需求的攀升，带动PC市场的持续增长，2021年中国PC出货量再创新高且在2022年Q1淡季下销量依然保持坚挺。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等线" w:hAnsi="等线" w:eastAsia="等线"/>
          <w:spacing w:val="15"/>
          <w:shd w:val="clear" w:color="auto" w:fill="FFFFFF"/>
        </w:rPr>
        <w:drawing>
          <wp:inline distT="0" distB="0" distL="0" distR="0">
            <wp:extent cx="5672455" cy="3160395"/>
            <wp:effectExtent l="0" t="0" r="4445" b="1905"/>
            <wp:docPr id="11" name="图片 11" descr="D:\微信\WeChat Files\wxid_7518915189111\FileStorage\Temp\5d128f78c57c3c13b24c771d77b9d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微信\WeChat Files\wxid_7518915189111\FileStorage\Temp\5d128f78c57c3c13b24c771d77b9d0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569" cy="31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spacing w:val="15"/>
        </w:rPr>
      </w:pPr>
      <w:r>
        <w:rPr>
          <w:rFonts w:ascii="微软雅黑" w:hAnsi="微软雅黑" w:eastAsia="微软雅黑"/>
          <w:spacing w:val="15"/>
        </w:rPr>
        <w:t>过去的十年可谓是移动互联网的黄金十年，流量的大幅倾斜造就了移动端流量红海，流量成本日益攀升，广告主营销成本也随之水涨船高。而随着微信、抖音、快手等诞生于移动互联网时代的巨头平台纷纷反向布局PC端，新的信号也正在释放——流量红利见顶，移动+PC融合的时代格局中，互联网流量的争夺，本质是移动互联网流量的存量之争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等线" w:hAnsi="等线" w:eastAsia="等线"/>
          <w:spacing w:val="15"/>
          <w:shd w:val="clear" w:color="auto" w:fill="FFFFFF"/>
        </w:rPr>
        <w:drawing>
          <wp:inline distT="0" distB="0" distL="0" distR="0">
            <wp:extent cx="5668010" cy="2654300"/>
            <wp:effectExtent l="0" t="0" r="0" b="0"/>
            <wp:docPr id="19" name="图片 19" descr="D:\微信\WeChat Files\wxid_7518915189111\FileStorage\Temp\7ba9037cf47ed89d3c04a3f776abaa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微信\WeChat Files\wxid_7518915189111\FileStorage\Temp\7ba9037cf47ed89d3c04a3f776abaa8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987" cy="26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营销目标：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Style w:val="12"/>
          <w:rFonts w:ascii="微软雅黑" w:hAnsi="微软雅黑" w:eastAsia="微软雅黑"/>
          <w:spacing w:val="15"/>
        </w:rPr>
        <w:t>锁定高价值营销阵地成就品牌广告新势力</w:t>
      </w:r>
      <w:r>
        <w:rPr>
          <w:rStyle w:val="12"/>
          <w:rFonts w:hint="eastAsia" w:ascii="微软雅黑" w:hAnsi="微软雅黑" w:eastAsia="微软雅黑"/>
          <w:spacing w:val="15"/>
        </w:rPr>
        <w:t xml:space="preserve"> </w:t>
      </w:r>
      <w:r>
        <w:rPr>
          <w:rFonts w:ascii="微软雅黑" w:hAnsi="微软雅黑" w:eastAsia="微软雅黑"/>
          <w:spacing w:val="15"/>
        </w:rPr>
        <w:t>流量红利见顶，进入存量博弈时代，日益高昂的营销成本迫使广告主重新审视品牌和效果。越来越多的广告主认识到，着眼于品牌建设才是长期的、小风险、高收益的方式。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等线" w:hAnsi="等线" w:eastAsia="等线"/>
          <w:sz w:val="24"/>
          <w:szCs w:val="24"/>
        </w:rPr>
        <w:drawing>
          <wp:inline distT="0" distB="0" distL="0" distR="0">
            <wp:extent cx="5708650" cy="3201035"/>
            <wp:effectExtent l="0" t="0" r="6350" b="18415"/>
            <wp:docPr id="20" name="图片 20" descr="D:\微信\WeChat Files\wxid_7518915189111\FileStorage\Temp\62d700f4f02d34139a4d677a44644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微信\WeChat Files\wxid_7518915189111\FileStorage\Temp\62d700f4f02d34139a4d677a446448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03" cy="320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left"/>
        <w:rPr>
          <w:rFonts w:ascii="微软雅黑" w:hAnsi="微软雅黑" w:eastAsia="微软雅黑"/>
          <w:spacing w:val="15"/>
          <w:shd w:val="clear" w:color="auto" w:fill="FFFFFF"/>
        </w:rPr>
      </w:pPr>
      <w:r>
        <w:rPr>
          <w:rFonts w:ascii="微软雅黑" w:hAnsi="微软雅黑" w:eastAsia="微软雅黑"/>
          <w:spacing w:val="15"/>
          <w:shd w:val="clear" w:color="auto" w:fill="FFFFFF"/>
        </w:rPr>
        <w:t>应PC价值重估之时、顺品牌营销发力之势、借强势流量之力，</w:t>
      </w:r>
      <w:r>
        <w:rPr>
          <w:rStyle w:val="12"/>
          <w:rFonts w:ascii="微软雅黑" w:hAnsi="微软雅黑" w:eastAsia="微软雅黑"/>
          <w:iCs/>
          <w:spacing w:val="15"/>
          <w:shd w:val="clear" w:color="auto" w:fill="FFFFFF"/>
        </w:rPr>
        <w:t>360PC锁屏画报</w:t>
      </w:r>
      <w:r>
        <w:rPr>
          <w:rFonts w:ascii="微软雅黑" w:hAnsi="微软雅黑" w:eastAsia="微软雅黑"/>
          <w:spacing w:val="15"/>
          <w:shd w:val="clear" w:color="auto" w:fill="FFFFFF"/>
        </w:rPr>
        <w:t>吸睛登场。凭借</w:t>
      </w:r>
      <w:r>
        <w:rPr>
          <w:rStyle w:val="12"/>
          <w:rFonts w:ascii="微软雅黑" w:hAnsi="微软雅黑" w:eastAsia="微软雅黑"/>
          <w:spacing w:val="15"/>
          <w:shd w:val="clear" w:color="auto" w:fill="FFFFFF"/>
        </w:rPr>
        <w:t>广覆盖、强触达、强展现、强交互</w:t>
      </w:r>
      <w:r>
        <w:rPr>
          <w:rFonts w:ascii="微软雅黑" w:hAnsi="微软雅黑" w:eastAsia="微软雅黑"/>
          <w:spacing w:val="15"/>
          <w:shd w:val="clear" w:color="auto" w:fill="FFFFFF"/>
        </w:rPr>
        <w:t>4大优势，360PC锁屏画报聚焦职场黄金8小时，打造锁定目标人群-吸引注意-激发兴趣-深入沟通的通路，助力品牌锁定高价值人群，占领用户心智。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sz w:val="24"/>
          <w:szCs w:val="24"/>
        </w:rPr>
        <w:drawing>
          <wp:inline distT="0" distB="0" distL="0" distR="0">
            <wp:extent cx="5664200" cy="3199765"/>
            <wp:effectExtent l="0" t="0" r="12700" b="635"/>
            <wp:docPr id="21" name="图片 21" descr="D:\微信\WeChat Files\wxid_7518915189111\FileStorage\Temp\0dbadee7d21222817b2ae75b3999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微信\WeChat Files\wxid_7518915189111\FileStorage\Temp\0dbadee7d21222817b2ae75b399956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536" cy="32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产品优势：</w:t>
      </w:r>
      <w:r>
        <w:rPr>
          <w:rFonts w:hint="eastAsia" w:ascii="微软雅黑" w:hAnsi="微软雅黑" w:eastAsia="微软雅黑"/>
        </w:rPr>
        <w:t>助品牌锁定高价值人群、占领用户心智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1.</w:t>
      </w:r>
      <w:r>
        <w:rPr>
          <w:rFonts w:hint="eastAsia" w:ascii="微软雅黑" w:hAnsi="微软雅黑" w:eastAsia="微软雅黑"/>
          <w:b/>
        </w:rPr>
        <w:t>广覆盖-直达3亿上班族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白领上班族是典型的三高人群-高学历、高收入、高消费</w:t>
      </w:r>
    </w:p>
    <w:p>
      <w:pPr>
        <w:spacing w:before="100" w:beforeAutospacing="1" w:after="100" w:afterAutospacing="1"/>
      </w:pPr>
      <w:r>
        <w:drawing>
          <wp:inline distT="0" distB="0" distL="0" distR="0">
            <wp:extent cx="5683250" cy="31743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3174" cy="318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</w:pPr>
      <w:r>
        <w:drawing>
          <wp:inline distT="0" distB="0" distL="0" distR="0">
            <wp:extent cx="5657850" cy="31667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5961" cy="317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</w:pPr>
      <w:r>
        <w:drawing>
          <wp:inline distT="0" distB="0" distL="0" distR="0">
            <wp:extent cx="5708650" cy="3195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611" cy="32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2.</w:t>
      </w:r>
      <w:r>
        <w:rPr>
          <w:rFonts w:hint="eastAsia" w:ascii="微软雅黑" w:hAnsi="微软雅黑" w:eastAsia="微软雅黑"/>
          <w:b/>
        </w:rPr>
        <w:t>强触达-沉浸|必看|高频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办公场景：沉浸低干扰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解锁必看：1+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双输出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可高频触发，强化感知</w:t>
      </w:r>
    </w:p>
    <w:p>
      <w:pPr>
        <w:spacing w:before="100" w:beforeAutospacing="1" w:after="100" w:afterAutospacing="1"/>
      </w:pPr>
      <w:r>
        <w:drawing>
          <wp:inline distT="0" distB="0" distL="0" distR="0">
            <wp:extent cx="5670550" cy="30416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8216" cy="30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</w:pPr>
      <w:r>
        <w:drawing>
          <wp:inline distT="0" distB="0" distL="0" distR="0">
            <wp:extent cx="5689600" cy="3189605"/>
            <wp:effectExtent l="0" t="0" r="635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9620" cy="319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3.</w:t>
      </w:r>
      <w:r>
        <w:rPr>
          <w:rFonts w:hint="eastAsia" w:ascii="微软雅黑" w:hAnsi="微软雅黑" w:eastAsia="微软雅黑"/>
          <w:b/>
        </w:rPr>
        <w:t>强展现-大尺寸|多样式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全屏大尺寸精彩呈现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丰富广告样式生动展示</w:t>
      </w:r>
    </w:p>
    <w:p>
      <w:pPr>
        <w:spacing w:before="100" w:beforeAutospacing="1" w:after="100" w:afterAutospacing="1"/>
      </w:pPr>
      <w:r>
        <w:drawing>
          <wp:inline distT="0" distB="0" distL="0" distR="0">
            <wp:extent cx="5683250" cy="31775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9111" cy="318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4.</w:t>
      </w:r>
      <w:r>
        <w:rPr>
          <w:rFonts w:hint="eastAsia" w:ascii="微软雅黑" w:hAnsi="微软雅黑" w:eastAsia="微软雅黑"/>
          <w:b/>
        </w:rPr>
        <w:t>强交互-强交互|强延展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锁定目标人群、吸引注意、激发兴趣、深入沟通</w:t>
      </w:r>
    </w:p>
    <w:p>
      <w:pPr>
        <w:spacing w:before="100" w:beforeAutospacing="1" w:after="100" w:afterAutospacing="1"/>
      </w:pPr>
      <w:r>
        <w:drawing>
          <wp:inline distT="0" distB="0" distL="0" distR="0">
            <wp:extent cx="5702300" cy="31584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9368" cy="316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</w:pPr>
      <w:r>
        <w:drawing>
          <wp:inline distT="0" distB="0" distL="0" distR="0">
            <wp:extent cx="5670550" cy="31146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1537" cy="31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使用说明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上班族的灵感时刻/治愈瞬间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1.</w:t>
      </w:r>
      <w:r>
        <w:rPr>
          <w:rFonts w:hint="eastAsia" w:ascii="微软雅黑" w:hAnsi="微软雅黑" w:eastAsia="微软雅黑"/>
          <w:b/>
        </w:rPr>
        <w:t>锁屏画报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灵感一触即发|多样主题画报 看见更美世界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2.</w:t>
      </w:r>
      <w:r>
        <w:rPr>
          <w:rFonts w:hint="eastAsia" w:ascii="微软雅黑" w:hAnsi="微软雅黑" w:eastAsia="微软雅黑"/>
          <w:b/>
        </w:rPr>
        <w:t>壁纸更换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不开心就换，换个壁纸换个心情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3.</w:t>
      </w:r>
      <w:r>
        <w:rPr>
          <w:rFonts w:hint="eastAsia" w:ascii="微软雅黑" w:hAnsi="微软雅黑" w:eastAsia="微软雅黑"/>
          <w:b/>
        </w:rPr>
        <w:t>健康课程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跟我一起做|工作间隙放松休息 缓解办公疲劳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4.</w:t>
      </w:r>
      <w:r>
        <w:rPr>
          <w:rFonts w:hint="eastAsia" w:ascii="微软雅黑" w:hAnsi="微软雅黑" w:eastAsia="微软雅黑"/>
          <w:b/>
        </w:rPr>
        <w:t>热点速递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热点早知道|新闻热点实时轮播，各类榜单一眼即知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应用范围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360PC锁屏画报主要营销场景：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1.</w:t>
      </w:r>
      <w:r>
        <w:rPr>
          <w:rFonts w:hint="eastAsia" w:ascii="微软雅黑" w:hAnsi="微软雅黑" w:eastAsia="微软雅黑"/>
          <w:b/>
        </w:rPr>
        <w:t>新品上市</w:t>
      </w:r>
    </w:p>
    <w:p>
      <w:pPr>
        <w:spacing w:before="100" w:beforeAutospacing="1" w:after="100" w:afterAutospacing="1"/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689600" cy="31997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444" cy="32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2.</w:t>
      </w:r>
      <w:r>
        <w:rPr>
          <w:rFonts w:hint="eastAsia" w:ascii="微软雅黑" w:hAnsi="微软雅黑" w:eastAsia="微软雅黑"/>
          <w:b/>
        </w:rPr>
        <w:t>节日营销</w:t>
      </w:r>
    </w:p>
    <w:p>
      <w:pPr>
        <w:spacing w:before="100" w:beforeAutospacing="1" w:after="100" w:afterAutospacing="1"/>
        <w:rPr>
          <w:rFonts w:hint="eastAsia"/>
          <w:b/>
        </w:rPr>
      </w:pPr>
      <w:r>
        <w:rPr>
          <w:b/>
        </w:rPr>
        <w:drawing>
          <wp:inline distT="0" distB="0" distL="0" distR="0">
            <wp:extent cx="5689600" cy="319976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611" cy="32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3.</w:t>
      </w:r>
      <w:r>
        <w:rPr>
          <w:rFonts w:hint="eastAsia" w:ascii="微软雅黑" w:hAnsi="微软雅黑" w:eastAsia="微软雅黑"/>
          <w:b/>
        </w:rPr>
        <w:t>品牌大事件</w:t>
      </w:r>
    </w:p>
    <w:p>
      <w:pPr>
        <w:spacing w:before="100" w:beforeAutospacing="1" w:after="100" w:afterAutospacing="1"/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670550" cy="31889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865" cy="319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4.</w:t>
      </w:r>
      <w:r>
        <w:rPr>
          <w:rFonts w:hint="eastAsia" w:ascii="微软雅黑" w:hAnsi="微软雅黑" w:eastAsia="微软雅黑"/>
          <w:b/>
        </w:rPr>
        <w:t>代言人官宣</w:t>
      </w:r>
    </w:p>
    <w:p>
      <w:pPr>
        <w:spacing w:before="100" w:beforeAutospacing="1" w:after="100" w:afterAutospacing="1"/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689600" cy="3200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327" cy="32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5.</w:t>
      </w:r>
      <w:r>
        <w:rPr>
          <w:rFonts w:hint="eastAsia" w:ascii="微软雅黑" w:hAnsi="微软雅黑" w:eastAsia="微软雅黑"/>
          <w:b/>
        </w:rPr>
        <w:t>产品种草</w:t>
      </w:r>
    </w:p>
    <w:p>
      <w:pPr>
        <w:spacing w:before="100" w:beforeAutospacing="1" w:after="100" w:afterAutospacing="1"/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702300" cy="32073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32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应用实例</w:t>
      </w:r>
    </w:p>
    <w:p>
      <w:pPr>
        <w:spacing w:before="100" w:beforeAutospacing="1" w:after="100" w:afterAutospacing="1"/>
        <w:rPr>
          <w:rStyle w:val="12"/>
          <w:rFonts w:ascii="微软雅黑" w:hAnsi="微软雅黑" w:eastAsia="微软雅黑"/>
          <w:color w:val="auto"/>
          <w:spacing w:val="15"/>
        </w:rPr>
      </w:pPr>
      <w:r>
        <w:rPr>
          <w:rStyle w:val="12"/>
          <w:rFonts w:ascii="微软雅黑" w:hAnsi="微软雅黑" w:eastAsia="微软雅黑"/>
          <w:color w:val="auto"/>
          <w:spacing w:val="15"/>
        </w:rPr>
        <w:t>天作之合360PC锁屏画报助力科技品牌频出圈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spacing w:val="15"/>
        </w:rPr>
        <w:t>营销升级的背后，是技术的迭代和升级；而营销的升级，也将进一步助力科技品牌创造增长新高度。以品牌营销升级“反哺”科技行业，360PC锁屏画报频频打造经典案例。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hint="eastAsia" w:ascii="微软雅黑" w:hAnsi="微软雅黑" w:eastAsia="微软雅黑"/>
          <w:b/>
          <w:lang w:val="en-US" w:eastAsia="zh-CN"/>
        </w:rPr>
        <w:t>.</w:t>
      </w:r>
      <w:r>
        <w:rPr>
          <w:rFonts w:hint="eastAsia" w:ascii="微软雅黑" w:hAnsi="微软雅黑" w:eastAsia="微软雅黑"/>
          <w:b/>
        </w:rPr>
        <w:t>科技行业：</w:t>
      </w:r>
    </w:p>
    <w:p>
      <w:pPr>
        <w:spacing w:before="100" w:beforeAutospacing="1" w:after="100" w:afterAutospacing="1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5791200" cy="32569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144" cy="326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Style w:val="12"/>
          <w:rFonts w:ascii="微软雅黑" w:hAnsi="微软雅黑" w:eastAsia="微软雅黑"/>
          <w:i/>
          <w:iCs/>
          <w:spacing w:val="15"/>
        </w:rPr>
      </w:pPr>
      <w:r>
        <w:rPr>
          <w:rStyle w:val="12"/>
          <w:rFonts w:ascii="微软雅黑" w:hAnsi="微软雅黑" w:eastAsia="微软雅黑"/>
          <w:i/>
          <w:iCs/>
          <w:spacing w:val="15"/>
        </w:rPr>
        <w:t>&lt;使命召唤·荣耀新生&gt;360×荣耀Magic3新品上市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pacing w:val="15"/>
        </w:rPr>
      </w:pPr>
      <w:r>
        <w:rPr>
          <w:rFonts w:ascii="微软雅黑" w:hAnsi="微软雅黑" w:eastAsia="微软雅黑"/>
          <w:spacing w:val="15"/>
        </w:rPr>
        <w:t>5G智能终端的需求激增，品牌独立后，荣耀面临更为激烈的市场竞争。以Magic3新品上市为爆发点，360为其制定了“黄金八小时下布局全网潜在流量收口”的策略 。360PC锁屏画报全程助力新品发布，结合营销周期，定制并上线各阶段创意，打造用户触达闭环。首创PC直播新渠道，屏保即直播，在极大缩短用户触达路径的同时，唤起用户观看兴趣，把办公室变成直播现场vip区。实现用户体验和品牌关注度的同步提升。</w:t>
      </w:r>
    </w:p>
    <w:p>
      <w:pPr>
        <w:spacing w:before="100" w:beforeAutospacing="1" w:after="100" w:afterAutospacing="1"/>
        <w:rPr>
          <w:b/>
        </w:rPr>
      </w:pPr>
      <w:r>
        <w:rPr>
          <w:b/>
        </w:rPr>
        <w:drawing>
          <wp:inline distT="0" distB="0" distL="0" distR="0">
            <wp:extent cx="5703570" cy="1600200"/>
            <wp:effectExtent l="0" t="0" r="0" b="0"/>
            <wp:docPr id="22" name="图片 22" descr="D:\微信\WeChat Files\wxid_7518915189111\FileStorage\Temp\affdf91c9b608038114625d2dcd7c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微信\WeChat Files\wxid_7518915189111\FileStorage\Temp\affdf91c9b608038114625d2dcd7c07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500" cy="16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/>
          <w:spacing w:val="15"/>
          <w:shd w:val="clear" w:color="auto" w:fill="FFFFFF"/>
        </w:rPr>
      </w:pPr>
      <w:r>
        <w:rPr>
          <w:rFonts w:ascii="微软雅黑" w:hAnsi="微软雅黑" w:eastAsia="微软雅黑"/>
          <w:color w:val="000000"/>
          <w:spacing w:val="15"/>
          <w:shd w:val="clear" w:color="auto" w:fill="FFFFFF"/>
        </w:rPr>
        <w:t>最终实现直播预约样式CTR较普通样式增长 42.33%，直播画中画样式 CTR较普通样式增长 94.17%。助力荣耀品牌价值与产品口碑双提升。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Style w:val="12"/>
          <w:rFonts w:ascii="微软雅黑" w:hAnsi="微软雅黑" w:eastAsia="微软雅黑"/>
          <w:i/>
          <w:iCs/>
          <w:spacing w:val="15"/>
        </w:rPr>
        <w:t>&lt;生而为赢·战无止境&gt;360×戴尔外星人新品发布</w:t>
      </w:r>
      <w:r>
        <w:rPr>
          <w:rFonts w:ascii="微软雅黑" w:hAnsi="微软雅黑" w:eastAsia="微软雅黑"/>
          <w:spacing w:val="15"/>
        </w:rPr>
        <w:br w:type="textWrapping"/>
      </w:r>
      <w:r>
        <w:rPr>
          <w:rFonts w:ascii="微软雅黑" w:hAnsi="微软雅黑" w:eastAsia="微软雅黑"/>
          <w:spacing w:val="15"/>
        </w:rPr>
        <w:t>以在游戏本市场大放异彩的外星人作为突破点，戴尔联手360以唤醒突破精神为内核制定营销策略。通过大数据技术精准锁定游戏人群，打造不断突破的品牌人设，激活用户潜藏于心的信念感，拉动情感共鸣，强势种草促转化。</w:t>
      </w:r>
    </w:p>
    <w:p>
      <w:pPr>
        <w:spacing w:before="100" w:beforeAutospacing="1" w:after="100" w:afterAutospacing="1"/>
        <w:rPr>
          <w:b/>
        </w:rPr>
      </w:pPr>
      <w:r>
        <w:rPr>
          <w:b/>
        </w:rPr>
        <w:drawing>
          <wp:inline distT="0" distB="0" distL="0" distR="0">
            <wp:extent cx="5689600" cy="3119755"/>
            <wp:effectExtent l="0" t="0" r="0" b="0"/>
            <wp:docPr id="23" name="图片 23" descr="D:\微信\WeChat Files\wxid_7518915189111\FileStorage\Temp\d21d90eadb8a612906c13ed8b3808c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微信\WeChat Files\wxid_7518915189111\FileStorage\Temp\d21d90eadb8a612906c13ed8b3808c0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6273" cy="312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/>
          <w:spacing w:val="15"/>
          <w:shd w:val="clear" w:color="auto" w:fill="FFFFFF"/>
          <w:lang w:eastAsia="zh-CN"/>
        </w:rPr>
      </w:pPr>
      <w:r>
        <w:rPr>
          <w:rFonts w:ascii="微软雅黑" w:hAnsi="微软雅黑" w:eastAsia="微软雅黑"/>
          <w:color w:val="000000"/>
          <w:spacing w:val="15"/>
          <w:shd w:val="clear" w:color="auto" w:fill="FFFFFF"/>
        </w:rPr>
        <w:t>360PC锁屏画报结合《哥斯拉大战金刚》，用沉浸大屏+热点IP，个性化创意素材解开吸睛密码</w:t>
      </w:r>
      <w:r>
        <w:rPr>
          <w:rFonts w:hint="eastAsia" w:ascii="微软雅黑" w:hAnsi="微软雅黑" w:eastAsia="微软雅黑"/>
          <w:color w:val="000000"/>
          <w:spacing w:val="15"/>
          <w:shd w:val="clear" w:color="auto" w:fill="FFFFFF"/>
          <w:lang w:eastAsia="zh-CN"/>
        </w:rPr>
        <w:t>。</w:t>
      </w:r>
    </w:p>
    <w:p>
      <w:pPr>
        <w:spacing w:before="100" w:beforeAutospacing="1" w:after="100" w:afterAutospacing="1"/>
        <w:rPr>
          <w:b/>
        </w:rPr>
      </w:pPr>
      <w:r>
        <w:rPr>
          <w:b/>
        </w:rPr>
        <w:drawing>
          <wp:inline distT="0" distB="0" distL="0" distR="0">
            <wp:extent cx="5676900" cy="4929505"/>
            <wp:effectExtent l="0" t="0" r="0" b="0"/>
            <wp:docPr id="24" name="图片 24" descr="D:\微信\WeChat Files\wxid_7518915189111\FileStorage\Temp\ea1bebd2a6de7eaa7d4bc205746ba6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微信\WeChat Files\wxid_7518915189111\FileStorage\Temp\ea1bebd2a6de7eaa7d4bc205746ba68f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050" cy="49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/>
          <w:spacing w:val="15"/>
          <w:shd w:val="clear" w:color="auto" w:fill="FFFFFF"/>
        </w:rPr>
      </w:pPr>
      <w:r>
        <w:rPr>
          <w:rFonts w:ascii="微软雅黑" w:hAnsi="微软雅黑" w:eastAsia="微软雅黑"/>
          <w:color w:val="000000"/>
          <w:spacing w:val="15"/>
          <w:shd w:val="clear" w:color="auto" w:fill="FFFFFF"/>
        </w:rPr>
        <w:t>结合浏览器调活提醒等更多营销玩法，此次营销战役实现戴尔品牌检索量环比提升42%，曝光环比增长50%，引流成本降低10%，全面提升品牌声量，吸引大量目标用户。</w:t>
      </w:r>
    </w:p>
    <w:p>
      <w:pPr>
        <w:spacing w:before="100" w:beforeAutospacing="1" w:after="100" w:afterAutospacing="1"/>
        <w:rPr>
          <w:rStyle w:val="14"/>
          <w:rFonts w:ascii="微软雅黑" w:hAnsi="微软雅黑" w:eastAsia="微软雅黑"/>
          <w:bCs/>
          <w:spacing w:val="15"/>
        </w:rPr>
      </w:pPr>
      <w:r>
        <w:rPr>
          <w:rStyle w:val="14"/>
          <w:rFonts w:ascii="微软雅黑" w:hAnsi="微软雅黑" w:eastAsia="微软雅黑"/>
          <w:b/>
          <w:bCs/>
          <w:spacing w:val="15"/>
        </w:rPr>
        <w:t>&lt;王者归来·翻转新视界&gt;360×三星Galaxy Z新品推广</w:t>
      </w:r>
    </w:p>
    <w:p>
      <w:pPr>
        <w:spacing w:before="100" w:beforeAutospacing="1" w:after="100" w:afterAutospacing="1"/>
        <w:rPr>
          <w:rFonts w:ascii="微软雅黑" w:hAnsi="微软雅黑" w:eastAsia="微软雅黑"/>
          <w:bCs/>
          <w:i/>
          <w:spacing w:val="15"/>
        </w:rPr>
      </w:pPr>
      <w:r>
        <w:rPr>
          <w:rFonts w:ascii="微软雅黑" w:hAnsi="微软雅黑" w:eastAsia="微软雅黑"/>
          <w:spacing w:val="15"/>
        </w:rPr>
        <w:t>国产品牌来势汹汹，在市场份额遭到冲击的形势下，三星另辟蹊径，欲通过Galaxy Z，以折叠屏创新品类进行突围，深入中国用户进行种草。通过“找对人”+“建通路”，360在此次营销战役助力三星打造一站式的种草通路。基于360大数据，精细化圈定高净值人群后，通过360PC锁屏画报+搜索双管齐下，深度绑定预售期、直播预售期、发售期等不同营销阶段。以个性化展现激发兴趣，引发搜索；搜索端新品一搜即现，实现流量收口。</w:t>
      </w:r>
    </w:p>
    <w:p>
      <w:pPr>
        <w:spacing w:before="100" w:beforeAutospacing="1" w:after="100" w:afterAutospacing="1"/>
        <w:rPr>
          <w:b/>
        </w:rPr>
      </w:pPr>
      <w:r>
        <w:rPr>
          <w:b/>
        </w:rPr>
        <w:drawing>
          <wp:inline distT="0" distB="0" distL="0" distR="0">
            <wp:extent cx="5638800" cy="2274570"/>
            <wp:effectExtent l="0" t="0" r="0" b="0"/>
            <wp:docPr id="25" name="图片 25" descr="D:\微信\WeChat Files\wxid_7518915189111\FileStorage\Temp\32ce996ada0cefa93cd0f6d849f50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微信\WeChat Files\wxid_7518915189111\FileStorage\Temp\32ce996ada0cefa93cd0f6d849f5061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825" cy="227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/>
          <w:spacing w:val="15"/>
          <w:shd w:val="clear" w:color="auto" w:fill="FFFFFF"/>
        </w:rPr>
      </w:pPr>
      <w:r>
        <w:rPr>
          <w:rFonts w:ascii="微软雅黑" w:hAnsi="微软雅黑" w:eastAsia="微软雅黑"/>
          <w:color w:val="000000"/>
          <w:spacing w:val="15"/>
          <w:shd w:val="clear" w:color="auto" w:fill="FFFFFF"/>
        </w:rPr>
        <w:t>创新产品+创新平台，营销成绩再创新高——品牌检索量同比增长16%、品牌累计曝光4400W+、推广期内为官方引流220W+。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2.</w:t>
      </w:r>
      <w:r>
        <w:rPr>
          <w:rFonts w:hint="eastAsia" w:ascii="微软雅黑" w:hAnsi="微软雅黑" w:eastAsia="微软雅黑"/>
          <w:b/>
        </w:rPr>
        <w:t>快消行业合作客户：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</w:rPr>
      </w:pPr>
      <w:r>
        <w:rPr>
          <w:rFonts w:hint="eastAsia"/>
          <w:b/>
        </w:rPr>
        <w:drawing>
          <wp:inline distT="0" distB="0" distL="0" distR="0">
            <wp:extent cx="5632450" cy="31680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014" cy="31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b/>
        </w:rPr>
      </w:pPr>
      <w:r>
        <w:rPr>
          <w:rFonts w:hint="eastAsia" w:ascii="微软雅黑" w:hAnsi="微软雅黑" w:eastAsia="微软雅黑"/>
          <w:b/>
        </w:rPr>
        <w:t>3</w:t>
      </w:r>
      <w:r>
        <w:rPr>
          <w:rFonts w:hint="eastAsia" w:ascii="微软雅黑" w:hAnsi="微软雅黑" w:eastAsia="微软雅黑"/>
          <w:b/>
          <w:lang w:val="en-US" w:eastAsia="zh-CN"/>
        </w:rPr>
        <w:t>.</w:t>
      </w:r>
      <w:r>
        <w:rPr>
          <w:rFonts w:hint="eastAsia" w:ascii="微软雅黑" w:hAnsi="微软雅黑" w:eastAsia="微软雅黑"/>
          <w:b/>
        </w:rPr>
        <w:t>汽车行业合作客户：</w:t>
      </w:r>
    </w:p>
    <w:p>
      <w:pPr>
        <w:spacing w:before="100" w:beforeAutospacing="1" w:after="100" w:afterAutospacing="1"/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689600" cy="31997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243" cy="32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</w:rPr>
        <w:t>4</w:t>
      </w:r>
      <w:r>
        <w:rPr>
          <w:rFonts w:hint="eastAsia" w:ascii="微软雅黑" w:hAnsi="微软雅黑" w:eastAsia="微软雅黑"/>
          <w:b/>
          <w:lang w:val="en-US" w:eastAsia="zh-CN"/>
        </w:rPr>
        <w:t>.</w:t>
      </w:r>
      <w:bookmarkStart w:id="0" w:name="_GoBack"/>
      <w:bookmarkEnd w:id="0"/>
      <w:r>
        <w:rPr>
          <w:rFonts w:hint="eastAsia" w:ascii="微软雅黑" w:hAnsi="微软雅黑" w:eastAsia="微软雅黑"/>
          <w:b/>
        </w:rPr>
        <w:t>更多合作品牌</w:t>
      </w:r>
      <w:r>
        <w:rPr>
          <w:rFonts w:hint="eastAsia" w:ascii="微软雅黑" w:hAnsi="微软雅黑" w:eastAsia="微软雅黑"/>
          <w:b/>
          <w:lang w:eastAsia="zh-CN"/>
        </w:rPr>
        <w:t>：</w:t>
      </w:r>
    </w:p>
    <w:p>
      <w:pPr>
        <w:spacing w:before="100" w:beforeAutospacing="1" w:after="100" w:afterAutospacing="1"/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670550" cy="31889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547" cy="319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69D"/>
    <w:rsid w:val="0002409C"/>
    <w:rsid w:val="00043C0C"/>
    <w:rsid w:val="00044F04"/>
    <w:rsid w:val="000532E1"/>
    <w:rsid w:val="00053A6A"/>
    <w:rsid w:val="000565E6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3DB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B2D89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033B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3B5F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014"/>
    <w:rsid w:val="0048758B"/>
    <w:rsid w:val="004A4904"/>
    <w:rsid w:val="004C539E"/>
    <w:rsid w:val="004D3EF9"/>
    <w:rsid w:val="004D53A9"/>
    <w:rsid w:val="004E459E"/>
    <w:rsid w:val="004E704D"/>
    <w:rsid w:val="004F1399"/>
    <w:rsid w:val="004F21D8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3C05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C0F2D"/>
    <w:rsid w:val="005D5D19"/>
    <w:rsid w:val="005D614B"/>
    <w:rsid w:val="005D77D7"/>
    <w:rsid w:val="005E3951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6660F"/>
    <w:rsid w:val="00787A78"/>
    <w:rsid w:val="00795109"/>
    <w:rsid w:val="007A0451"/>
    <w:rsid w:val="007B2D27"/>
    <w:rsid w:val="007C0828"/>
    <w:rsid w:val="007C3F70"/>
    <w:rsid w:val="007C4C7A"/>
    <w:rsid w:val="007C679D"/>
    <w:rsid w:val="007D5451"/>
    <w:rsid w:val="007D76B6"/>
    <w:rsid w:val="007E008C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D3C34"/>
    <w:rsid w:val="008F0D3C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0CC3"/>
    <w:rsid w:val="00993068"/>
    <w:rsid w:val="009A7E78"/>
    <w:rsid w:val="009B0289"/>
    <w:rsid w:val="009B0E2C"/>
    <w:rsid w:val="009C29B7"/>
    <w:rsid w:val="009C3624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6991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409BB"/>
    <w:rsid w:val="00D44B1D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0C0B"/>
    <w:rsid w:val="00E92CC7"/>
    <w:rsid w:val="00E93D45"/>
    <w:rsid w:val="00E966EC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47231"/>
    <w:rsid w:val="00F503C8"/>
    <w:rsid w:val="00F56689"/>
    <w:rsid w:val="00F853FB"/>
    <w:rsid w:val="00F86D66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3822522"/>
    <w:rsid w:val="0E2975EB"/>
    <w:rsid w:val="175D5EDF"/>
    <w:rsid w:val="1A903AFB"/>
    <w:rsid w:val="31771119"/>
    <w:rsid w:val="4A73665C"/>
    <w:rsid w:val="4D0F4330"/>
    <w:rsid w:val="64CA0F84"/>
    <w:rsid w:val="67C1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qFormat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Emphasis"/>
    <w:basedOn w:val="11"/>
    <w:qFormat/>
    <w:uiPriority w:val="20"/>
    <w:rPr>
      <w:i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character" w:customStyle="1" w:styleId="16">
    <w:name w:val="标题 字符"/>
    <w:basedOn w:val="11"/>
    <w:link w:val="9"/>
    <w:qFormat/>
    <w:uiPriority w:val="0"/>
    <w:rPr>
      <w:b/>
      <w:sz w:val="28"/>
      <w:lang w:eastAsia="en-US"/>
    </w:rPr>
  </w:style>
  <w:style w:type="character" w:customStyle="1" w:styleId="17">
    <w:name w:val="bottom1"/>
    <w:basedOn w:val="11"/>
    <w:qFormat/>
    <w:uiPriority w:val="0"/>
    <w:rPr>
      <w:color w:val="6E6E6E"/>
    </w:rPr>
  </w:style>
  <w:style w:type="character" w:customStyle="1" w:styleId="18">
    <w:name w:val="apple-converted-space"/>
    <w:basedOn w:val="11"/>
    <w:qFormat/>
    <w:uiPriority w:val="0"/>
  </w:style>
  <w:style w:type="character" w:customStyle="1" w:styleId="19">
    <w:name w:val="apple-style-span"/>
    <w:basedOn w:val="11"/>
    <w:qFormat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qFormat/>
    <w:uiPriority w:val="0"/>
    <w:pPr>
      <w:widowControl/>
    </w:pPr>
    <w:rPr>
      <w:kern w:val="0"/>
    </w:rPr>
  </w:style>
  <w:style w:type="paragraph" w:customStyle="1" w:styleId="22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qFormat/>
    <w:uiPriority w:val="0"/>
    <w:pPr>
      <w:ind w:left="720"/>
    </w:pPr>
  </w:style>
  <w:style w:type="character" w:customStyle="1" w:styleId="24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AB73095-309D-4098-9026-768857795D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14</Pages>
  <Words>1748</Words>
  <Characters>1882</Characters>
  <Lines>14</Lines>
  <Paragraphs>4</Paragraphs>
  <TotalTime>2</TotalTime>
  <ScaleCrop>false</ScaleCrop>
  <LinksUpToDate>false</LinksUpToDate>
  <CharactersWithSpaces>1897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2015-11-23T07:58:00Z</dcterms:created>
  <dc:creator>雨林木风</dc:creator>
  <cp:lastModifiedBy>熊梦洋</cp:lastModifiedBy>
  <cp:lastPrinted>2013-11-12T01:54:00Z</cp:lastPrinted>
  <dcterms:modified xsi:type="dcterms:W3CDTF">2023-02-10T10:26:22Z</dcterms:modified>
  <dc:title>No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6547A4707E3145479E17C3AD8E073DF0</vt:lpwstr>
  </property>
</Properties>
</file>