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kern w:val="0"/>
          <w:sz w:val="32"/>
          <w:szCs w:val="32"/>
        </w:rPr>
      </w:pPr>
      <w:r>
        <w:rPr>
          <w:rFonts w:hint="eastAsia" w:ascii="微软雅黑" w:hAnsi="微软雅黑" w:eastAsia="微软雅黑"/>
          <w:b/>
          <w:kern w:val="0"/>
          <w:sz w:val="32"/>
          <w:szCs w:val="32"/>
        </w:rPr>
        <w:t>360 IAA小游戏平台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报送公司：</w:t>
      </w:r>
      <w:r>
        <w:rPr>
          <w:rFonts w:hint="eastAsia" w:ascii="微软雅黑" w:hAnsi="微软雅黑" w:eastAsia="微软雅黑"/>
        </w:rPr>
        <w:t>3</w:t>
      </w:r>
      <w:r>
        <w:rPr>
          <w:rFonts w:ascii="微软雅黑" w:hAnsi="微软雅黑" w:eastAsia="微软雅黑"/>
        </w:rPr>
        <w:t>60</w:t>
      </w:r>
      <w:r>
        <w:rPr>
          <w:rFonts w:hint="eastAsia" w:ascii="微软雅黑" w:hAnsi="微软雅黑" w:eastAsia="微软雅黑"/>
        </w:rPr>
        <w:t>智慧商业</w:t>
      </w:r>
    </w:p>
    <w:p>
      <w:pPr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</w:rPr>
        <w:t>年度最佳数字营销平台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简介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开发背景：</w:t>
      </w:r>
      <w:r>
        <w:rPr>
          <w:rFonts w:ascii="微软雅黑" w:hAnsi="微软雅黑" w:eastAsia="微软雅黑"/>
        </w:rPr>
        <w:t xml:space="preserve">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2022</w:t>
      </w:r>
      <w:r>
        <w:rPr>
          <w:rFonts w:ascii="微软雅黑" w:hAnsi="微软雅黑" w:eastAsia="微软雅黑"/>
        </w:rPr>
        <w:t>年中国休闲游戏市场规模预计超过</w:t>
      </w:r>
      <w:r>
        <w:rPr>
          <w:rFonts w:hint="eastAsia" w:ascii="微软雅黑" w:hAnsi="微软雅黑" w:eastAsia="微软雅黑"/>
        </w:rPr>
        <w:t>340</w:t>
      </w:r>
      <w:r>
        <w:rPr>
          <w:rFonts w:ascii="微软雅黑" w:hAnsi="微软雅黑" w:eastAsia="微软雅黑"/>
        </w:rPr>
        <w:t>亿，游戏内购收入约</w:t>
      </w:r>
      <w:r>
        <w:rPr>
          <w:rFonts w:hint="eastAsia" w:ascii="微软雅黑" w:hAnsi="微软雅黑" w:eastAsia="微软雅黑"/>
        </w:rPr>
        <w:t>80</w:t>
      </w:r>
      <w:r>
        <w:rPr>
          <w:rFonts w:ascii="微软雅黑" w:hAnsi="微软雅黑" w:eastAsia="微软雅黑"/>
        </w:rPr>
        <w:t>亿，</w:t>
      </w:r>
      <w:r>
        <w:rPr>
          <w:rFonts w:ascii="微软雅黑" w:hAnsi="微软雅黑" w:eastAsia="微软雅黑"/>
          <w:b/>
          <w:bCs/>
        </w:rPr>
        <w:t>广告收入约</w:t>
      </w:r>
      <w:r>
        <w:rPr>
          <w:rFonts w:hint="eastAsia" w:ascii="微软雅黑" w:hAnsi="微软雅黑" w:eastAsia="微软雅黑"/>
          <w:b/>
          <w:bCs/>
        </w:rPr>
        <w:t>260</w:t>
      </w:r>
      <w:r>
        <w:rPr>
          <w:rFonts w:ascii="微软雅黑" w:hAnsi="微软雅黑" w:eastAsia="微软雅黑"/>
          <w:b/>
          <w:bCs/>
        </w:rPr>
        <w:t>亿元以上</w:t>
      </w:r>
      <w:r>
        <w:rPr>
          <w:rFonts w:ascii="微软雅黑" w:hAnsi="微软雅黑" w:eastAsia="微软雅黑"/>
        </w:rPr>
        <w:t>，两种主流变现方式比例约为</w:t>
      </w:r>
      <w:r>
        <w:rPr>
          <w:rFonts w:hint="eastAsia" w:ascii="微软雅黑" w:hAnsi="微软雅黑" w:eastAsia="微软雅黑"/>
        </w:rPr>
        <w:t>1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3。</w:t>
      </w:r>
      <w:r>
        <w:rPr>
          <w:rFonts w:ascii="微软雅黑" w:hAnsi="微软雅黑" w:eastAsia="微软雅黑"/>
        </w:rPr>
        <w:t>从休闲游戏下载量来看，国内市场休闲游戏下载量占比游戏整体下载量</w:t>
      </w:r>
      <w:r>
        <w:rPr>
          <w:rFonts w:hint="eastAsia" w:ascii="微软雅黑" w:hAnsi="微软雅黑" w:eastAsia="微软雅黑"/>
        </w:rPr>
        <w:t>41.7%</w:t>
      </w:r>
      <w:r>
        <w:rPr>
          <w:rFonts w:ascii="微软雅黑" w:hAnsi="微软雅黑" w:eastAsia="微软雅黑"/>
        </w:rPr>
        <w:t>，全球市场比例为</w:t>
      </w:r>
      <w:r>
        <w:rPr>
          <w:rFonts w:hint="eastAsia" w:ascii="微软雅黑" w:hAnsi="微软雅黑" w:eastAsia="微软雅黑"/>
        </w:rPr>
        <w:t>80%</w:t>
      </w:r>
      <w:r>
        <w:rPr>
          <w:rFonts w:ascii="微软雅黑" w:hAnsi="微软雅黑" w:eastAsia="微软雅黑"/>
        </w:rPr>
        <w:t>。一方面原因为国内市场有微抖等平台渠道，用户不需要下载即可玩游戏</w:t>
      </w:r>
      <w:r>
        <w:rPr>
          <w:rFonts w:hint="eastAsia" w:ascii="微软雅黑" w:hAnsi="微软雅黑" w:eastAsia="微软雅黑"/>
        </w:rPr>
        <w:t>；</w:t>
      </w:r>
      <w:r>
        <w:rPr>
          <w:rFonts w:ascii="微软雅黑" w:hAnsi="微软雅黑" w:eastAsia="微软雅黑"/>
        </w:rPr>
        <w:t>另一方面是因为中国休闲游戏市场还有相当大的发展空间。</w:t>
      </w:r>
      <w:r>
        <w:rPr>
          <w:rFonts w:hint="eastAsia" w:ascii="微软雅黑" w:hAnsi="微软雅黑" w:eastAsia="微软雅黑"/>
        </w:rPr>
        <w:t>2022</w:t>
      </w:r>
      <w:r>
        <w:rPr>
          <w:rFonts w:ascii="微软雅黑" w:hAnsi="微软雅黑" w:eastAsia="微软雅黑"/>
        </w:rPr>
        <w:t>年中国</w:t>
      </w:r>
      <w:r>
        <w:rPr>
          <w:rFonts w:ascii="微软雅黑" w:hAnsi="微软雅黑" w:eastAsia="微软雅黑"/>
          <w:b/>
          <w:bCs/>
        </w:rPr>
        <w:t>休闲游戏用户规模预计为</w:t>
      </w:r>
      <w:r>
        <w:rPr>
          <w:rFonts w:hint="eastAsia" w:ascii="微软雅黑" w:hAnsi="微软雅黑" w:eastAsia="微软雅黑"/>
          <w:b/>
          <w:bCs/>
        </w:rPr>
        <w:t>5.2</w:t>
      </w:r>
      <w:r>
        <w:rPr>
          <w:rFonts w:ascii="微软雅黑" w:hAnsi="微软雅黑" w:eastAsia="微软雅黑"/>
          <w:b/>
          <w:bCs/>
        </w:rPr>
        <w:t>亿</w:t>
      </w:r>
      <w:r>
        <w:rPr>
          <w:rFonts w:ascii="微软雅黑" w:hAnsi="微软雅黑" w:eastAsia="微软雅黑"/>
        </w:rPr>
        <w:t>，游戏用户中超</w:t>
      </w:r>
      <w:r>
        <w:rPr>
          <w:rFonts w:hint="eastAsia" w:ascii="微软雅黑" w:hAnsi="微软雅黑" w:eastAsia="微软雅黑"/>
        </w:rPr>
        <w:t>80%</w:t>
      </w:r>
      <w:r>
        <w:rPr>
          <w:rFonts w:ascii="微软雅黑" w:hAnsi="微软雅黑" w:eastAsia="微软雅黑"/>
        </w:rPr>
        <w:t>用户在过去一年玩过休闲游戏。由于市场渗透率很高，未来休闲游戏用户增长空间有限，提升现有的用户活跃度、开辟新游戏渠道、培养用户观看激励视频的习惯，提高用户广告转化率将成为未来休息游戏变现的主要发力方向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现在I</w:t>
      </w:r>
      <w:r>
        <w:rPr>
          <w:rFonts w:ascii="微软雅黑" w:hAnsi="微软雅黑" w:eastAsia="微软雅黑"/>
        </w:rPr>
        <w:t>AA</w:t>
      </w:r>
      <w:r>
        <w:rPr>
          <w:rFonts w:hint="eastAsia" w:ascii="微软雅黑" w:hAnsi="微软雅黑" w:eastAsia="微软雅黑"/>
        </w:rPr>
        <w:t>小游戏还值不值得做，在游戏和广告两大市场双向加持的广阔前景下当然可以随时加入。但作为游戏开发者来说，需要做好面对增长和变现困境的准备。</w:t>
      </w:r>
    </w:p>
    <w:p>
      <w:pPr>
        <w:widowControl/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核心目标：</w:t>
      </w:r>
      <w:r>
        <w:rPr>
          <w:rFonts w:hint="eastAsia" w:ascii="微软雅黑" w:hAnsi="微软雅黑" w:eastAsia="微软雅黑"/>
        </w:rPr>
        <w:t>以最大化开发者收益为服务宗旨，运用模型策略只能算法，专注为中国开发者服务的变现服务平台——为全球小游戏开发者提供从入驻-推荐-增长-留存-变现的全托管一体化增长服务，致力于和开发者共同进步，谋求长远发展，共同开辟P</w:t>
      </w:r>
      <w:r>
        <w:rPr>
          <w:rFonts w:ascii="微软雅黑" w:hAnsi="微软雅黑" w:eastAsia="微软雅黑"/>
        </w:rPr>
        <w:t>C</w:t>
      </w:r>
      <w:r>
        <w:rPr>
          <w:rFonts w:hint="eastAsia" w:ascii="微软雅黑" w:hAnsi="微软雅黑" w:eastAsia="微软雅黑"/>
        </w:rPr>
        <w:t>端新渠道，共享P</w:t>
      </w:r>
      <w:r>
        <w:rPr>
          <w:rFonts w:ascii="微软雅黑" w:hAnsi="微软雅黑" w:eastAsia="微软雅黑"/>
        </w:rPr>
        <w:t>C</w:t>
      </w:r>
      <w:r>
        <w:rPr>
          <w:rFonts w:hint="eastAsia" w:ascii="微软雅黑" w:hAnsi="微软雅黑" w:eastAsia="微软雅黑"/>
        </w:rPr>
        <w:t>端小游戏蓝海！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使用群体：</w:t>
      </w:r>
      <w:r>
        <w:rPr>
          <w:rFonts w:hint="eastAsia" w:ascii="微软雅黑" w:hAnsi="微软雅黑" w:eastAsia="微软雅黑"/>
        </w:rPr>
        <w:t>全球小游戏开发者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产品亮点：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szCs w:val="21"/>
        </w:rPr>
        <w:t>快速自动化入驻：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方便快捷的自动化广告、数据监测代码接入，实现游戏代码托管，免去开发者后续运维工作。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szCs w:val="21"/>
        </w:rPr>
        <w:t>增长+变现一体化：</w:t>
      </w:r>
      <w:r>
        <w:rPr>
          <w:rFonts w:hint="eastAsia" w:ascii="微软雅黑" w:hAnsi="微软雅黑" w:eastAsia="微软雅黑"/>
          <w:bCs/>
          <w:szCs w:val="21"/>
        </w:rPr>
        <w:t>为入驻的小游戏提供百亿流量扶持，高比例分成，海量预算引入、爆款奖励、技术扶持等全方位服务。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szCs w:val="21"/>
        </w:rPr>
        <w:t>数据服务智能化</w:t>
      </w:r>
      <w:r>
        <w:rPr>
          <w:rFonts w:ascii="微软雅黑" w:hAnsi="微软雅黑" w:eastAsia="微软雅黑"/>
          <w:b/>
          <w:szCs w:val="21"/>
        </w:rPr>
        <w:t>：</w:t>
      </w:r>
      <w:r>
        <w:rPr>
          <w:rFonts w:hint="eastAsia" w:ascii="微软雅黑" w:hAnsi="微软雅黑" w:eastAsia="微软雅黑"/>
          <w:bCs/>
          <w:szCs w:val="21"/>
        </w:rPr>
        <w:t>依托360强大的数据能力，为</w:t>
      </w:r>
      <w:r>
        <w:rPr>
          <w:rFonts w:ascii="微软雅黑" w:hAnsi="微软雅黑" w:eastAsia="微软雅黑"/>
          <w:bCs/>
          <w:szCs w:val="21"/>
        </w:rPr>
        <w:t>CP</w:t>
      </w:r>
      <w:r>
        <w:rPr>
          <w:rFonts w:hint="eastAsia" w:ascii="微软雅黑" w:hAnsi="微软雅黑" w:eastAsia="微软雅黑"/>
          <w:bCs/>
          <w:szCs w:val="21"/>
        </w:rPr>
        <w:t>提供全链路闭环数据及精准分析指导，助力开发者优化游戏内体验、道具参数，提升游戏可玩性及用户留存，从而提升用户的L</w:t>
      </w:r>
      <w:r>
        <w:rPr>
          <w:rFonts w:ascii="微软雅黑" w:hAnsi="微软雅黑" w:eastAsia="微软雅黑"/>
          <w:bCs/>
          <w:szCs w:val="21"/>
        </w:rPr>
        <w:t>TV</w:t>
      </w:r>
      <w:r>
        <w:rPr>
          <w:rFonts w:hint="eastAsia" w:ascii="微软雅黑" w:hAnsi="微软雅黑" w:eastAsia="微软雅黑"/>
          <w:bCs/>
          <w:szCs w:val="21"/>
        </w:rPr>
        <w:t>。</w:t>
      </w:r>
    </w:p>
    <w:p>
      <w:pPr>
        <w:pStyle w:val="20"/>
        <w:numPr>
          <w:numId w:val="0"/>
        </w:numPr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b/>
          <w:bCs/>
          <w:szCs w:val="21"/>
        </w:rPr>
        <w:t>用户体系代运营：</w:t>
      </w:r>
      <w:r>
        <w:rPr>
          <w:rFonts w:hint="eastAsia" w:ascii="微软雅黑" w:hAnsi="微软雅黑" w:eastAsia="微软雅黑"/>
          <w:szCs w:val="21"/>
        </w:rPr>
        <w:t>提供对外标准化用户运营数据接口，</w:t>
      </w:r>
      <w:r>
        <w:rPr>
          <w:rFonts w:ascii="微软雅黑" w:hAnsi="微软雅黑" w:eastAsia="微软雅黑"/>
          <w:bCs/>
          <w:szCs w:val="21"/>
        </w:rPr>
        <w:t>CP</w:t>
      </w:r>
      <w:r>
        <w:rPr>
          <w:rFonts w:hint="eastAsia" w:ascii="微软雅黑" w:hAnsi="微软雅黑" w:eastAsia="微软雅黑"/>
          <w:szCs w:val="21"/>
        </w:rPr>
        <w:t>可将游戏的存档、用户积分、用户战绩、用户奖品等运营功能通过接口与系统对接，完成用户体系代运营。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使用说明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</w:rPr>
        <w:t>对接流程</w:t>
      </w:r>
      <w:r>
        <w:rPr>
          <w:rFonts w:hint="eastAsia" w:ascii="微软雅黑" w:hAnsi="微软雅黑" w:eastAsia="微软雅黑"/>
          <w:b/>
          <w:lang w:eastAsia="zh-CN"/>
        </w:rPr>
        <w:t>：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4629150" cy="369570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</w:rPr>
        <w:t>对接步骤</w:t>
      </w:r>
      <w:r>
        <w:rPr>
          <w:rFonts w:hint="eastAsia" w:ascii="微软雅黑" w:hAnsi="微软雅黑" w:eastAsia="微软雅黑"/>
          <w:b/>
          <w:lang w:eastAsia="zh-CN"/>
        </w:rPr>
        <w:t>：</w:t>
      </w:r>
    </w:p>
    <w:tbl>
      <w:tblPr>
        <w:tblStyle w:val="10"/>
        <w:tblW w:w="936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735"/>
        <w:gridCol w:w="1380"/>
        <w:gridCol w:w="67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1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团队接洽 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>小游戏开发者、360联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>盟、360产研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双方接洽，明确合作意向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介绍文档，获取CP哪些信息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2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选游戏 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小游戏开发者、360产研 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1、小游戏开发者提供试玩链接，360产研选择合适的游戏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2、 打包小游戏代码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3、提供小游戏相关物料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（1）如果有小游戏版号，则需要先在中宣部网站上注册账号、创建游戏： https://wlc.nppa.gov.cn/fcm_company/index.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html#/guide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（2）小游戏PC端尺寸： 横屏1280x720， 竖屏750x1334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3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接广告 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小游戏开发者 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cs="宋体"/>
                <w:color w:val="32373C"/>
                <w:kern w:val="0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1、确定游戏内的广告位置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2、注册360联盟广告平台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注册地址： ssp.360.cn，如果已有360联盟广告账号可直接进入第3步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3、接入360联盟广告平台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可以接入激励视频、贴片、橱窗、单图信息流、开屏等类型广告。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以下为广告接入规范说明，需按照要求进行统一的广告体验优化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橱窗广告接入文档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t>、</w:t>
            </w:r>
            <w:r>
              <w:rPr>
                <w:rStyle w:val="25"/>
                <w:rFonts w:hint="default"/>
              </w:rPr>
              <w:t>激励视频接入文档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t>、</w:t>
            </w:r>
            <w:r>
              <w:rPr>
                <w:rStyle w:val="25"/>
                <w:rFonts w:hint="default"/>
              </w:rPr>
              <w:t>信息流广告接入文档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Style w:val="25"/>
                <w:rFonts w:hint="default"/>
              </w:rPr>
              <w:t>4、游戏内数据埋点（CP必选，平台可选）</w:t>
            </w:r>
            <w:r>
              <w:rPr>
                <w:rFonts w:hint="eastAsia" w:ascii="黑体" w:hAnsi="黑体" w:eastAsia="黑体"/>
                <w:color w:val="000000"/>
                <w:sz w:val="12"/>
                <w:szCs w:val="12"/>
              </w:rPr>
              <w:br w:type="textWrapping"/>
            </w:r>
            <w:r>
              <w:rPr>
                <w:rStyle w:val="25"/>
                <w:rFonts w:hint="default"/>
              </w:rPr>
              <w:t xml:space="preserve">（1）接入360分析： </w:t>
            </w:r>
            <w:r>
              <w:rPr>
                <w:rStyle w:val="25"/>
                <w:rFonts w:hint="default"/>
                <w:color w:val="0052CC"/>
              </w:rPr>
              <w:t>https://fenxi.360.cn/help/manual</w:t>
            </w:r>
            <w:r>
              <w:rPr>
                <w:rFonts w:hint="eastAsia" w:ascii="黑体" w:hAnsi="黑体" w:eastAsia="黑体"/>
                <w:color w:val="0052CC"/>
                <w:sz w:val="12"/>
                <w:szCs w:val="12"/>
              </w:rPr>
              <w:br w:type="textWrapping"/>
            </w:r>
            <w:r>
              <w:rPr>
                <w:rStyle w:val="25"/>
                <w:rFonts w:hint="default"/>
              </w:rPr>
              <w:t xml:space="preserve">（2）注册360分析账号后， </w:t>
            </w:r>
            <w:r>
              <w:rPr>
                <w:rStyle w:val="25"/>
                <w:rFonts w:hint="default"/>
                <w:color w:val="384B66"/>
              </w:rPr>
              <w:t xml:space="preserve">“站内分析-转化分析”，在转化目标设置页面中点击“添加”， </w:t>
            </w:r>
            <w:r>
              <w:rPr>
                <w:rStyle w:val="25"/>
                <w:rFonts w:hint="default"/>
              </w:rPr>
              <w:t>选择“事件转化”目标类型。依次</w:t>
            </w:r>
            <w:r>
              <w:rPr>
                <w:rFonts w:hint="eastAsia" w:ascii="黑体" w:hAnsi="黑体" w:eastAsia="黑体"/>
                <w:color w:val="000000"/>
                <w:sz w:val="12"/>
                <w:szCs w:val="12"/>
              </w:rPr>
              <w:br w:type="textWrapping"/>
            </w:r>
            <w:r>
              <w:rPr>
                <w:rStyle w:val="25"/>
                <w:rFonts w:hint="default"/>
              </w:rPr>
              <w:t>填写“转化目标名称、事件ID、事件页面URL、预期收益”等信息，进行保存即可。</w:t>
            </w:r>
            <w:r>
              <w:rPr>
                <w:rFonts w:hint="eastAsia" w:ascii="黑体" w:hAnsi="黑体" w:eastAsia="黑体"/>
                <w:color w:val="000000"/>
                <w:sz w:val="12"/>
                <w:szCs w:val="12"/>
              </w:rPr>
              <w:br w:type="textWrapping"/>
            </w:r>
            <w:r>
              <w:rPr>
                <w:rStyle w:val="25"/>
                <w:rFonts w:hint="default"/>
              </w:rPr>
              <w:t>事件ID：在</w:t>
            </w:r>
            <w:r>
              <w:rPr>
                <w:rStyle w:val="25"/>
                <w:rFonts w:hint="default"/>
                <w:color w:val="384B66"/>
              </w:rPr>
              <w:t>想要监测的按钮上，右键选择“审查元素”，在当前这一行的代码中找到“ID=XXXX”，ID等于的内容既是这次事件</w:t>
            </w:r>
            <w:r>
              <w:rPr>
                <w:rFonts w:hint="eastAsia" w:ascii="黑体" w:hAnsi="黑体" w:eastAsia="黑体"/>
                <w:color w:val="384B66"/>
                <w:sz w:val="12"/>
                <w:szCs w:val="12"/>
              </w:rPr>
              <w:br w:type="textWrapping"/>
            </w:r>
            <w:r>
              <w:rPr>
                <w:rStyle w:val="25"/>
                <w:rFonts w:hint="default"/>
                <w:color w:val="384B66"/>
              </w:rPr>
              <w:t>的ID</w:t>
            </w:r>
            <w:r>
              <w:rPr>
                <w:rFonts w:hint="eastAsia" w:ascii="黑体" w:hAnsi="黑体" w:eastAsia="黑体"/>
                <w:color w:val="384B66"/>
                <w:sz w:val="12"/>
                <w:szCs w:val="12"/>
              </w:rPr>
              <w:br w:type="textWrapping"/>
            </w:r>
            <w:r>
              <w:rPr>
                <w:rStyle w:val="25"/>
                <w:rFonts w:hint="default"/>
                <w:color w:val="0052CC"/>
              </w:rPr>
              <w:t>小游戏打点日志统计事项.pdf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4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游戏审核 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360风控 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审核游戏内容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5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部署 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360技术、 360分析运营 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1、将小游戏部署到乐儿优域名下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2、在小游戏页面加数据监测，统计页面pv、uv等数据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3、接入360统一注册登录和实名认证接口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6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>游戏发布并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>上架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360技术 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发布游戏，并上架到小游戏中心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7 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正式导流 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000000"/>
                <w:kern w:val="0"/>
                <w:sz w:val="12"/>
                <w:szCs w:val="12"/>
              </w:rPr>
              <w:t xml:space="preserve">360产研、小游戏开发者 </w:t>
            </w:r>
          </w:p>
        </w:tc>
        <w:tc>
          <w:tcPr>
            <w:tcW w:w="6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</w:pP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1、数据监测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每日监测导流和广告收益情况， 根据游戏的用户量级、用户留存情况和变现情况调整导流策略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2、反馈收益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定期反馈收益情况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3、优化</w:t>
            </w:r>
            <w:r>
              <w:rPr>
                <w:rFonts w:hint="eastAsia" w:ascii="黑体" w:hAnsi="黑体" w:eastAsia="黑体" w:cs="宋体"/>
                <w:color w:val="32373C"/>
                <w:kern w:val="0"/>
                <w:sz w:val="12"/>
                <w:szCs w:val="12"/>
              </w:rPr>
              <w:br w:type="textWrapping"/>
            </w:r>
            <w:r>
              <w:rPr>
                <w:rFonts w:ascii="黑体" w:hAnsi="黑体" w:eastAsia="黑体" w:cs="宋体"/>
                <w:color w:val="32373C"/>
                <w:kern w:val="0"/>
                <w:sz w:val="12"/>
                <w:szCs w:val="12"/>
              </w:rPr>
              <w:t>根据导流和收益情况，优化导流和变现策略，实现收入最大化</w:t>
            </w:r>
          </w:p>
        </w:tc>
      </w:tr>
    </w:tbl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变现模式</w:t>
      </w:r>
      <w:r>
        <w:rPr>
          <w:rFonts w:hint="eastAsia" w:ascii="微软雅黑" w:hAnsi="微软雅黑" w:eastAsia="微软雅黑"/>
          <w:b/>
          <w:szCs w:val="21"/>
          <w:lang w:eastAsia="zh-CN"/>
        </w:rPr>
        <w:t>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1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Cs w:val="21"/>
        </w:rPr>
        <w:t>开屏广告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i/>
          <w:szCs w:val="21"/>
        </w:rPr>
      </w:pPr>
      <w:bookmarkStart w:id="0" w:name="_GoBack"/>
      <w:r>
        <w:drawing>
          <wp:inline distT="0" distB="0" distL="114300" distR="114300">
            <wp:extent cx="5381625" cy="24765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iCs/>
          <w:szCs w:val="21"/>
        </w:rPr>
      </w:pPr>
      <w:r>
        <w:rPr>
          <w:rFonts w:hint="eastAsia" w:ascii="微软雅黑" w:hAnsi="微软雅黑" w:eastAsia="微软雅黑"/>
          <w:iCs/>
          <w:szCs w:val="21"/>
        </w:rPr>
        <w:t>2</w:t>
      </w:r>
      <w:r>
        <w:rPr>
          <w:rFonts w:hint="eastAsia" w:ascii="微软雅黑" w:hAnsi="微软雅黑" w:eastAsia="微软雅黑"/>
          <w:iCs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iCs/>
          <w:szCs w:val="21"/>
        </w:rPr>
        <w:t>转场贴片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iCs/>
          <w:szCs w:val="21"/>
        </w:rPr>
      </w:pPr>
      <w:r>
        <w:drawing>
          <wp:inline distT="0" distB="0" distL="0" distR="0">
            <wp:extent cx="4088765" cy="3429000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064" cy="34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iCs/>
          <w:szCs w:val="21"/>
        </w:rPr>
      </w:pPr>
      <w:r>
        <w:rPr>
          <w:rFonts w:hint="eastAsia" w:ascii="微软雅黑" w:hAnsi="微软雅黑" w:eastAsia="微软雅黑"/>
          <w:iCs/>
          <w:szCs w:val="21"/>
        </w:rPr>
        <w:t>3</w:t>
      </w:r>
      <w:r>
        <w:rPr>
          <w:rFonts w:hint="eastAsia" w:ascii="微软雅黑" w:hAnsi="微软雅黑" w:eastAsia="微软雅黑"/>
          <w:iCs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iCs/>
          <w:szCs w:val="21"/>
        </w:rPr>
        <w:t>激励视频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iCs/>
          <w:szCs w:val="21"/>
        </w:rPr>
      </w:pPr>
      <w:r>
        <w:drawing>
          <wp:inline distT="0" distB="0" distL="0" distR="0">
            <wp:extent cx="4254500" cy="35839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4397" cy="36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iCs/>
          <w:szCs w:val="21"/>
        </w:rPr>
      </w:pPr>
      <w:r>
        <w:rPr>
          <w:rFonts w:hint="eastAsia" w:ascii="微软雅黑" w:hAnsi="微软雅黑" w:eastAsia="微软雅黑"/>
          <w:iCs/>
          <w:szCs w:val="21"/>
        </w:rPr>
        <w:t>4</w:t>
      </w:r>
      <w:r>
        <w:rPr>
          <w:rFonts w:hint="eastAsia" w:ascii="微软雅黑" w:hAnsi="微软雅黑" w:eastAsia="微软雅黑"/>
          <w:iCs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iCs/>
          <w:szCs w:val="21"/>
        </w:rPr>
        <w:t>游戏内</w:t>
      </w:r>
      <w:r>
        <w:rPr>
          <w:rFonts w:ascii="微软雅黑" w:hAnsi="微软雅黑" w:eastAsia="微软雅黑"/>
          <w:iCs/>
          <w:szCs w:val="21"/>
        </w:rPr>
        <w:t>B</w:t>
      </w:r>
      <w:r>
        <w:rPr>
          <w:rFonts w:hint="eastAsia" w:ascii="微软雅黑" w:hAnsi="微软雅黑" w:eastAsia="微软雅黑"/>
          <w:iCs/>
          <w:szCs w:val="21"/>
        </w:rPr>
        <w:t>anner广告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iCs/>
          <w:szCs w:val="21"/>
        </w:rPr>
      </w:pPr>
      <w:r>
        <w:drawing>
          <wp:inline distT="0" distB="0" distL="0" distR="0">
            <wp:extent cx="4156075" cy="35445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3468" cy="35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应用范围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3</w:t>
      </w:r>
      <w:r>
        <w:rPr>
          <w:rFonts w:ascii="微软雅黑" w:hAnsi="微软雅黑" w:eastAsia="微软雅黑" w:cs="微软雅黑"/>
        </w:rPr>
        <w:t>60 IAA</w:t>
      </w:r>
      <w:r>
        <w:rPr>
          <w:rFonts w:hint="eastAsia" w:ascii="微软雅黑" w:hAnsi="微软雅黑" w:eastAsia="微软雅黑" w:cs="微软雅黑"/>
        </w:rPr>
        <w:t>小游戏平台为</w:t>
      </w:r>
      <w:r>
        <w:rPr>
          <w:rFonts w:hint="eastAsia" w:ascii="微软雅黑" w:hAnsi="微软雅黑" w:eastAsia="微软雅黑" w:cs="微软雅黑"/>
          <w:b/>
          <w:bCs/>
        </w:rPr>
        <w:t>全球小游戏开发者</w:t>
      </w:r>
      <w:r>
        <w:rPr>
          <w:rFonts w:hint="eastAsia" w:ascii="微软雅黑" w:hAnsi="微软雅黑" w:eastAsia="微软雅黑" w:cs="微软雅黑"/>
        </w:rPr>
        <w:t>提供</w:t>
      </w:r>
      <w:r>
        <w:rPr>
          <w:rFonts w:hint="eastAsia" w:ascii="微软雅黑" w:hAnsi="微软雅黑" w:eastAsia="微软雅黑"/>
        </w:rPr>
        <w:t>从</w:t>
      </w:r>
      <w:r>
        <w:rPr>
          <w:rFonts w:hint="eastAsia" w:ascii="微软雅黑" w:hAnsi="微软雅黑" w:eastAsia="微软雅黑"/>
          <w:b/>
          <w:bCs/>
        </w:rPr>
        <w:t>入驻-推荐-增长-留存-变现</w:t>
      </w:r>
      <w:r>
        <w:rPr>
          <w:rFonts w:hint="eastAsia" w:ascii="微软雅黑" w:hAnsi="微软雅黑" w:eastAsia="微软雅黑"/>
        </w:rPr>
        <w:t>的全托管一体化增长服务。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应用实例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1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Cs w:val="21"/>
        </w:rPr>
        <w:t>冒险类游戏接入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C</w:t>
      </w:r>
      <w:r>
        <w:rPr>
          <w:rFonts w:ascii="微软雅黑" w:hAnsi="微软雅黑" w:eastAsia="微软雅黑"/>
          <w:bCs/>
          <w:szCs w:val="21"/>
        </w:rPr>
        <w:t>PM150</w:t>
      </w:r>
      <w:r>
        <w:rPr>
          <w:rFonts w:hint="eastAsia" w:ascii="微软雅黑" w:hAnsi="微软雅黑" w:eastAsia="微软雅黑"/>
          <w:bCs/>
          <w:szCs w:val="21"/>
        </w:rPr>
        <w:t>留存时长4分钟，日收益2</w:t>
      </w:r>
      <w:r>
        <w:rPr>
          <w:rFonts w:ascii="微软雅黑" w:hAnsi="微软雅黑" w:eastAsia="微软雅黑"/>
          <w:bCs/>
          <w:szCs w:val="21"/>
        </w:rPr>
        <w:t>000</w:t>
      </w:r>
      <w:r>
        <w:rPr>
          <w:rFonts w:hint="eastAsia" w:ascii="微软雅黑" w:hAnsi="微软雅黑" w:eastAsia="微软雅黑"/>
          <w:bCs/>
          <w:szCs w:val="21"/>
        </w:rPr>
        <w:t>以上。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i/>
          <w:szCs w:val="21"/>
        </w:rPr>
      </w:pPr>
      <w:r>
        <w:rPr>
          <w:rFonts w:ascii="微软雅黑" w:hAnsi="微软雅黑" w:eastAsia="微软雅黑"/>
          <w:i/>
          <w:szCs w:val="21"/>
        </w:rPr>
        <w:drawing>
          <wp:inline distT="0" distB="0" distL="0" distR="0">
            <wp:extent cx="5274310" cy="2932430"/>
            <wp:effectExtent l="0" t="0" r="0" b="127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2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Cs w:val="21"/>
        </w:rPr>
        <w:t>休闲类游戏接入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C</w:t>
      </w:r>
      <w:r>
        <w:rPr>
          <w:rFonts w:ascii="微软雅黑" w:hAnsi="微软雅黑" w:eastAsia="微软雅黑"/>
          <w:bCs/>
          <w:szCs w:val="21"/>
        </w:rPr>
        <w:t>PM70</w:t>
      </w:r>
      <w:r>
        <w:rPr>
          <w:rFonts w:hint="eastAsia" w:ascii="微软雅黑" w:hAnsi="微软雅黑" w:eastAsia="微软雅黑"/>
          <w:bCs/>
          <w:szCs w:val="21"/>
        </w:rPr>
        <w:t>留存时长</w:t>
      </w:r>
      <w:r>
        <w:rPr>
          <w:rFonts w:ascii="微软雅黑" w:hAnsi="微软雅黑" w:eastAsia="微软雅黑"/>
          <w:bCs/>
          <w:szCs w:val="21"/>
        </w:rPr>
        <w:t>7</w:t>
      </w:r>
      <w:r>
        <w:rPr>
          <w:rFonts w:hint="eastAsia" w:ascii="微软雅黑" w:hAnsi="微软雅黑" w:eastAsia="微软雅黑"/>
          <w:bCs/>
          <w:szCs w:val="21"/>
        </w:rPr>
        <w:t>分钟，日收益2</w:t>
      </w:r>
      <w:r>
        <w:rPr>
          <w:rFonts w:ascii="微软雅黑" w:hAnsi="微软雅黑" w:eastAsia="微软雅黑"/>
          <w:bCs/>
          <w:szCs w:val="21"/>
        </w:rPr>
        <w:t>200</w:t>
      </w:r>
      <w:r>
        <w:rPr>
          <w:rFonts w:hint="eastAsia" w:ascii="微软雅黑" w:hAnsi="微软雅黑" w:eastAsia="微软雅黑"/>
          <w:bCs/>
          <w:szCs w:val="21"/>
        </w:rPr>
        <w:t>以上。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943225"/>
            <wp:effectExtent l="0" t="0" r="0" b="3175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Cs w:val="21"/>
        </w:rPr>
        <w:t>益智类游戏接入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C</w:t>
      </w:r>
      <w:r>
        <w:rPr>
          <w:rFonts w:ascii="微软雅黑" w:hAnsi="微软雅黑" w:eastAsia="微软雅黑"/>
          <w:bCs/>
          <w:szCs w:val="21"/>
        </w:rPr>
        <w:t>PM111</w:t>
      </w:r>
      <w:r>
        <w:rPr>
          <w:rFonts w:hint="eastAsia" w:ascii="微软雅黑" w:hAnsi="微软雅黑" w:eastAsia="微软雅黑"/>
          <w:bCs/>
          <w:szCs w:val="21"/>
        </w:rPr>
        <w:t>留存时长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分钟，日收益</w:t>
      </w:r>
      <w:r>
        <w:rPr>
          <w:rFonts w:ascii="微软雅黑" w:hAnsi="微软雅黑" w:eastAsia="微软雅黑"/>
          <w:bCs/>
          <w:szCs w:val="21"/>
        </w:rPr>
        <w:t>1800</w:t>
      </w:r>
      <w:r>
        <w:rPr>
          <w:rFonts w:hint="eastAsia" w:ascii="微软雅黑" w:hAnsi="微软雅黑" w:eastAsia="微软雅黑"/>
          <w:bCs/>
          <w:szCs w:val="21"/>
        </w:rPr>
        <w:t>以上。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iCs/>
          <w:szCs w:val="21"/>
        </w:rPr>
      </w:pPr>
      <w:r>
        <w:rPr>
          <w:rFonts w:ascii="微软雅黑" w:hAnsi="微软雅黑" w:eastAsia="微软雅黑"/>
          <w:iCs/>
          <w:szCs w:val="21"/>
        </w:rPr>
        <w:drawing>
          <wp:inline distT="0" distB="0" distL="0" distR="0">
            <wp:extent cx="5274310" cy="2941320"/>
            <wp:effectExtent l="0" t="0" r="0" b="508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Cs w:val="21"/>
        </w:rPr>
        <w:t>策略类游戏接入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C</w:t>
      </w:r>
      <w:r>
        <w:rPr>
          <w:rFonts w:ascii="微软雅黑" w:hAnsi="微软雅黑" w:eastAsia="微软雅黑"/>
          <w:bCs/>
          <w:szCs w:val="21"/>
        </w:rPr>
        <w:t>PM65</w:t>
      </w:r>
      <w:r>
        <w:rPr>
          <w:rFonts w:hint="eastAsia" w:ascii="微软雅黑" w:hAnsi="微软雅黑" w:eastAsia="微软雅黑"/>
          <w:bCs/>
          <w:szCs w:val="21"/>
        </w:rPr>
        <w:t>留存时长</w:t>
      </w:r>
      <w:r>
        <w:rPr>
          <w:rFonts w:ascii="微软雅黑" w:hAnsi="微软雅黑" w:eastAsia="微软雅黑"/>
          <w:bCs/>
          <w:szCs w:val="21"/>
        </w:rPr>
        <w:t>10</w:t>
      </w:r>
      <w:r>
        <w:rPr>
          <w:rFonts w:hint="eastAsia" w:ascii="微软雅黑" w:hAnsi="微软雅黑" w:eastAsia="微软雅黑"/>
          <w:bCs/>
          <w:szCs w:val="21"/>
        </w:rPr>
        <w:t>分钟，日收益</w:t>
      </w:r>
      <w:r>
        <w:rPr>
          <w:rFonts w:ascii="微软雅黑" w:hAnsi="微软雅黑" w:eastAsia="微软雅黑"/>
          <w:bCs/>
          <w:szCs w:val="21"/>
        </w:rPr>
        <w:t>1500</w:t>
      </w:r>
      <w:r>
        <w:rPr>
          <w:rFonts w:hint="eastAsia" w:ascii="微软雅黑" w:hAnsi="微软雅黑" w:eastAsia="微软雅黑"/>
          <w:bCs/>
          <w:szCs w:val="21"/>
        </w:rPr>
        <w:t>以上。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936240"/>
            <wp:effectExtent l="0" t="0" r="0" b="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5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Cs w:val="21"/>
        </w:rPr>
        <w:t>模拟类游戏接入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C</w:t>
      </w:r>
      <w:r>
        <w:rPr>
          <w:rFonts w:ascii="微软雅黑" w:hAnsi="微软雅黑" w:eastAsia="微软雅黑"/>
          <w:bCs/>
          <w:szCs w:val="21"/>
        </w:rPr>
        <w:t>PM35</w:t>
      </w:r>
      <w:r>
        <w:rPr>
          <w:rFonts w:hint="eastAsia" w:ascii="微软雅黑" w:hAnsi="微软雅黑" w:eastAsia="微软雅黑"/>
          <w:bCs/>
          <w:szCs w:val="21"/>
        </w:rPr>
        <w:t>留存时长1</w:t>
      </w:r>
      <w:r>
        <w:rPr>
          <w:rFonts w:ascii="微软雅黑" w:hAnsi="微软雅黑" w:eastAsia="微软雅黑"/>
          <w:bCs/>
          <w:szCs w:val="21"/>
        </w:rPr>
        <w:t>5</w:t>
      </w:r>
      <w:r>
        <w:rPr>
          <w:rFonts w:hint="eastAsia" w:ascii="微软雅黑" w:hAnsi="微软雅黑" w:eastAsia="微软雅黑"/>
          <w:bCs/>
          <w:szCs w:val="21"/>
        </w:rPr>
        <w:t>分钟，日收益</w:t>
      </w:r>
      <w:r>
        <w:rPr>
          <w:rFonts w:ascii="微软雅黑" w:hAnsi="微软雅黑" w:eastAsia="微软雅黑"/>
          <w:bCs/>
          <w:szCs w:val="21"/>
        </w:rPr>
        <w:t>1200</w:t>
      </w:r>
      <w:r>
        <w:rPr>
          <w:rFonts w:hint="eastAsia" w:ascii="微软雅黑" w:hAnsi="微软雅黑" w:eastAsia="微软雅黑"/>
          <w:bCs/>
          <w:szCs w:val="21"/>
        </w:rPr>
        <w:t>以上。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940685"/>
            <wp:effectExtent l="0" t="0" r="0" b="5715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1BA6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02FE5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02B98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3F18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A2B69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47CC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928AD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5DE5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2FA4C8A"/>
    <w:rsid w:val="08D06F6B"/>
    <w:rsid w:val="0E8707FE"/>
    <w:rsid w:val="2A78646E"/>
    <w:rsid w:val="2C471B3F"/>
    <w:rsid w:val="2E870919"/>
    <w:rsid w:val="4F233683"/>
    <w:rsid w:val="66A82BFF"/>
    <w:rsid w:val="7DEA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qFormat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qFormat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</w:rPr>
  </w:style>
  <w:style w:type="paragraph" w:customStyle="1" w:styleId="22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  <w:style w:type="character" w:customStyle="1" w:styleId="25">
    <w:name w:val="fontstyle01"/>
    <w:basedOn w:val="11"/>
    <w:uiPriority w:val="0"/>
    <w:rPr>
      <w:rFonts w:hint="eastAsia" w:ascii="黑体" w:hAnsi="黑体" w:eastAsia="黑体"/>
      <w:color w:val="000000"/>
      <w:sz w:val="12"/>
      <w:szCs w:val="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57C1E34-F44C-4F64-80C9-18A8471076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1717</Words>
  <Characters>1970</Characters>
  <Lines>15</Lines>
  <Paragraphs>4</Paragraphs>
  <TotalTime>0</TotalTime>
  <ScaleCrop>false</ScaleCrop>
  <LinksUpToDate>false</LinksUpToDate>
  <CharactersWithSpaces>2003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2015-11-23T07:58:00Z</dcterms:created>
  <dc:creator>雨林木风</dc:creator>
  <cp:lastModifiedBy>熊梦洋</cp:lastModifiedBy>
  <cp:lastPrinted>2013-11-12T01:54:00Z</cp:lastPrinted>
  <dcterms:modified xsi:type="dcterms:W3CDTF">2023-02-10T10:18:52Z</dcterms:modified>
  <dc:title>No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E9B40CFCDF5C46FDB52CA7E6F3566AD0</vt:lpwstr>
  </property>
</Properties>
</file>