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kinsoku/>
        <w:wordWrap/>
        <w:overflowPunct/>
        <w:topLinePunct w:val="0"/>
        <w:autoSpaceDE/>
        <w:autoSpaceDN/>
        <w:bidi w:val="0"/>
        <w:adjustRightInd/>
        <w:snapToGrid/>
        <w:spacing w:before="313" w:beforeLines="100" w:after="313" w:afterLines="100"/>
        <w:jc w:val="center"/>
        <w:textAlignment w:val="baseline"/>
        <w:rPr>
          <w:rFonts w:ascii="微软雅黑" w:hAnsi="微软雅黑" w:eastAsia="微软雅黑"/>
          <w:b/>
          <w:sz w:val="32"/>
          <w:szCs w:val="32"/>
        </w:rPr>
      </w:pPr>
      <w:r>
        <w:rPr>
          <w:rFonts w:hint="eastAsia" w:ascii="微软雅黑" w:hAnsi="微软雅黑" w:eastAsia="微软雅黑"/>
          <w:b/>
          <w:sz w:val="32"/>
          <w:szCs w:val="32"/>
        </w:rPr>
        <w:t>2</w:t>
      </w:r>
      <w:r>
        <w:rPr>
          <w:rFonts w:ascii="微软雅黑" w:hAnsi="微软雅黑" w:eastAsia="微软雅黑"/>
          <w:b/>
          <w:sz w:val="32"/>
          <w:szCs w:val="32"/>
        </w:rPr>
        <w:t>020</w:t>
      </w:r>
      <w:r>
        <w:rPr>
          <w:rFonts w:hint="eastAsia" w:ascii="微软雅黑" w:hAnsi="微软雅黑" w:eastAsia="微软雅黑"/>
          <w:b/>
          <w:sz w:val="32"/>
          <w:szCs w:val="32"/>
        </w:rPr>
        <w:t>年三星盖乐世</w:t>
      </w:r>
      <w:r>
        <w:rPr>
          <w:rFonts w:hint="eastAsia" w:ascii="微软雅黑" w:hAnsi="微软雅黑" w:eastAsia="微软雅黑"/>
          <w:b/>
          <w:sz w:val="32"/>
          <w:szCs w:val="32"/>
          <w:lang w:val="en-US" w:eastAsia="zh-CN"/>
        </w:rPr>
        <w:t>note</w:t>
      </w:r>
      <w:r>
        <w:rPr>
          <w:rFonts w:ascii="微软雅黑" w:hAnsi="微软雅黑" w:eastAsia="微软雅黑"/>
          <w:b/>
          <w:sz w:val="32"/>
          <w:szCs w:val="32"/>
        </w:rPr>
        <w:t>20</w:t>
      </w:r>
      <w:r>
        <w:rPr>
          <w:rFonts w:hint="eastAsia" w:ascii="微软雅黑" w:hAnsi="微软雅黑" w:eastAsia="微软雅黑"/>
          <w:b/>
          <w:sz w:val="32"/>
          <w:szCs w:val="32"/>
        </w:rPr>
        <w:t>系列上市</w:t>
      </w:r>
    </w:p>
    <w:p>
      <w:pPr>
        <w:textAlignment w:val="baseline"/>
        <w:rPr>
          <w:rFonts w:ascii="微软雅黑" w:hAnsi="微软雅黑" w:eastAsia="微软雅黑"/>
          <w:b/>
          <w:sz w:val="21"/>
          <w:szCs w:val="21"/>
        </w:rPr>
      </w:pPr>
      <w:r>
        <w:rPr>
          <w:rFonts w:hint="eastAsia" w:ascii="微软雅黑" w:hAnsi="微软雅黑" w:eastAsia="微软雅黑"/>
          <w:b/>
          <w:sz w:val="21"/>
          <w:szCs w:val="21"/>
        </w:rPr>
        <w:t>广 告 主：</w:t>
      </w:r>
      <w:r>
        <w:rPr>
          <w:rFonts w:hint="eastAsia" w:ascii="微软雅黑" w:hAnsi="微软雅黑" w:eastAsia="微软雅黑"/>
          <w:bCs/>
          <w:sz w:val="21"/>
          <w:szCs w:val="21"/>
        </w:rPr>
        <w:t>三星手机</w:t>
      </w:r>
    </w:p>
    <w:p>
      <w:pPr>
        <w:textAlignment w:val="baseline"/>
        <w:rPr>
          <w:rFonts w:ascii="微软雅黑" w:hAnsi="微软雅黑" w:eastAsia="微软雅黑"/>
          <w:bCs/>
          <w:sz w:val="21"/>
          <w:szCs w:val="21"/>
        </w:rPr>
      </w:pPr>
      <w:r>
        <w:rPr>
          <w:rFonts w:hint="eastAsia" w:ascii="微软雅黑" w:hAnsi="微软雅黑" w:eastAsia="微软雅黑"/>
          <w:b/>
          <w:sz w:val="21"/>
          <w:szCs w:val="21"/>
        </w:rPr>
        <w:t>所属行业：</w:t>
      </w:r>
      <w:r>
        <w:rPr>
          <w:rFonts w:hint="eastAsia" w:ascii="微软雅黑" w:hAnsi="微软雅黑" w:eastAsia="微软雅黑"/>
          <w:bCs/>
          <w:sz w:val="21"/>
          <w:szCs w:val="21"/>
        </w:rPr>
        <w:t>3</w:t>
      </w:r>
      <w:r>
        <w:rPr>
          <w:rFonts w:ascii="微软雅黑" w:hAnsi="微软雅黑" w:eastAsia="微软雅黑"/>
          <w:bCs/>
          <w:sz w:val="21"/>
          <w:szCs w:val="21"/>
        </w:rPr>
        <w:t>C</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20</w:t>
      </w:r>
      <w:r>
        <w:rPr>
          <w:rFonts w:ascii="微软雅黑" w:hAnsi="微软雅黑" w:eastAsia="微软雅黑"/>
          <w:sz w:val="21"/>
          <w:szCs w:val="21"/>
        </w:rPr>
        <w:t>20</w:t>
      </w:r>
      <w:r>
        <w:rPr>
          <w:rFonts w:hint="eastAsia" w:ascii="微软雅黑" w:hAnsi="微软雅黑" w:eastAsia="微软雅黑"/>
          <w:sz w:val="21"/>
          <w:szCs w:val="21"/>
        </w:rPr>
        <w:t>.</w:t>
      </w:r>
      <w:r>
        <w:rPr>
          <w:rFonts w:ascii="微软雅黑" w:hAnsi="微软雅黑" w:eastAsia="微软雅黑"/>
          <w:sz w:val="21"/>
          <w:szCs w:val="21"/>
        </w:rPr>
        <w:t>08</w:t>
      </w:r>
    </w:p>
    <w:p>
      <w:pPr>
        <w:spacing w:after="240"/>
        <w:textAlignment w:val="baseline"/>
        <w:rPr>
          <w:rFonts w:hint="default" w:ascii="微软雅黑" w:hAnsi="微软雅黑" w:eastAsia="微软雅黑"/>
          <w:sz w:val="21"/>
          <w:szCs w:val="21"/>
          <w:lang w:val="en-US" w:eastAsia="zh-CN"/>
        </w:rPr>
      </w:pPr>
      <w:r>
        <w:rPr>
          <w:rFonts w:hint="eastAsia" w:ascii="微软雅黑" w:hAnsi="微软雅黑" w:eastAsia="微软雅黑"/>
          <w:b/>
          <w:sz w:val="21"/>
          <w:szCs w:val="21"/>
        </w:rPr>
        <w:t>参选类别：</w:t>
      </w:r>
      <w:r>
        <w:rPr>
          <w:rFonts w:hint="eastAsia" w:ascii="微软雅黑" w:hAnsi="微软雅黑" w:eastAsia="微软雅黑"/>
          <w:bCs/>
          <w:sz w:val="21"/>
          <w:szCs w:val="21"/>
          <w:lang w:val="en-US" w:eastAsia="zh-CN"/>
        </w:rPr>
        <w:t>视频内容营销类</w:t>
      </w:r>
      <w:bookmarkStart w:id="1" w:name="_GoBack"/>
      <w:bookmarkEnd w:id="1"/>
    </w:p>
    <w:p>
      <w:pPr>
        <w:keepNext w:val="0"/>
        <w:keepLines w:val="0"/>
        <w:pageBreakBefore w:val="0"/>
        <w:widowControl/>
        <w:kinsoku/>
        <w:wordWrap/>
        <w:overflowPunct/>
        <w:topLinePunct w:val="0"/>
        <w:autoSpaceDE/>
        <w:autoSpaceDN/>
        <w:bidi w:val="0"/>
        <w:adjustRightInd/>
        <w:snapToGrid/>
        <w:spacing w:before="100" w:beforeAutospacing="1" w:after="100" w:afterAutospacing="1"/>
        <w:jc w:val="center"/>
        <w:textAlignment w:val="baseline"/>
        <w:rPr>
          <w:rFonts w:hint="eastAsia" w:ascii="微软雅黑" w:hAnsi="微软雅黑" w:eastAsia="微软雅黑"/>
          <w:b w:val="0"/>
          <w:bCs/>
          <w:sz w:val="21"/>
          <w:szCs w:val="21"/>
          <w:lang w:val="en-US" w:eastAsia="zh-CN"/>
        </w:rPr>
      </w:pPr>
      <w:r>
        <w:rPr>
          <w:rFonts w:hint="eastAsia" w:ascii="微软雅黑" w:hAnsi="微软雅黑" w:eastAsia="微软雅黑"/>
          <w:b/>
          <w:sz w:val="21"/>
          <w:szCs w:val="21"/>
          <w:lang w:val="en-US" w:eastAsia="zh-CN"/>
        </w:rPr>
        <w:t>案例视频：</w:t>
      </w:r>
      <w:r>
        <w:rPr>
          <w:rFonts w:hint="eastAsia" w:ascii="微软雅黑" w:hAnsi="微软雅黑" w:eastAsia="微软雅黑"/>
          <w:b w:val="0"/>
          <w:bCs/>
          <w:sz w:val="21"/>
          <w:szCs w:val="21"/>
          <w:lang w:val="en-US" w:eastAsia="zh-CN"/>
        </w:rPr>
        <w:fldChar w:fldCharType="begin"/>
      </w:r>
      <w:r>
        <w:rPr>
          <w:rFonts w:hint="eastAsia" w:ascii="微软雅黑" w:hAnsi="微软雅黑" w:eastAsia="微软雅黑"/>
          <w:b w:val="0"/>
          <w:bCs/>
          <w:sz w:val="21"/>
          <w:szCs w:val="21"/>
          <w:lang w:val="en-US" w:eastAsia="zh-CN"/>
        </w:rPr>
        <w:instrText xml:space="preserve"> HYPERLINK "https://www.bilibili.com/video/BV1eX4y1K7sf/" </w:instrText>
      </w:r>
      <w:r>
        <w:rPr>
          <w:rFonts w:hint="eastAsia" w:ascii="微软雅黑" w:hAnsi="微软雅黑" w:eastAsia="微软雅黑"/>
          <w:b w:val="0"/>
          <w:bCs/>
          <w:sz w:val="21"/>
          <w:szCs w:val="21"/>
          <w:lang w:val="en-US" w:eastAsia="zh-CN"/>
        </w:rPr>
        <w:fldChar w:fldCharType="separate"/>
      </w:r>
      <w:r>
        <w:rPr>
          <w:rStyle w:val="16"/>
          <w:rFonts w:hint="eastAsia" w:ascii="微软雅黑" w:hAnsi="微软雅黑" w:eastAsia="微软雅黑"/>
          <w:b w:val="0"/>
          <w:bCs/>
          <w:sz w:val="21"/>
          <w:szCs w:val="21"/>
          <w:lang w:val="en-US" w:eastAsia="zh-CN"/>
        </w:rPr>
        <w:t>https://www.bilibili.com/video/BV1eX4y1K7sf/</w:t>
      </w:r>
      <w:r>
        <w:rPr>
          <w:rFonts w:hint="eastAsia" w:ascii="微软雅黑" w:hAnsi="微软雅黑" w:eastAsia="微软雅黑"/>
          <w:b w:val="0"/>
          <w:bCs/>
          <w:sz w:val="21"/>
          <w:szCs w:val="21"/>
          <w:lang w:val="en-US" w:eastAsia="zh-CN"/>
        </w:rPr>
        <w:fldChar w:fldCharType="end"/>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
          <w:color w:val="0000FF"/>
        </w:rPr>
      </w:pPr>
      <w:r>
        <w:rPr>
          <w:rFonts w:hint="eastAsia" w:ascii="微软雅黑" w:hAnsi="微软雅黑" w:eastAsia="微软雅黑"/>
          <w:b/>
          <w:color w:val="0000FF"/>
          <w:sz w:val="28"/>
        </w:rPr>
        <w:t>营销背景</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三星盖乐世 note20系列上市，面对众多竞品，需要在互联网上营造上市话题</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营销目标</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rPr>
        <w:t>三星盖乐世 note20系列上市</w:t>
      </w:r>
      <w:r>
        <w:rPr>
          <w:rFonts w:hint="eastAsia" w:ascii="微软雅黑" w:hAnsi="微软雅黑" w:eastAsia="微软雅黑"/>
          <w:sz w:val="21"/>
          <w:szCs w:val="21"/>
          <w:lang w:eastAsia="zh-CN"/>
        </w:rPr>
        <w:t>，</w:t>
      </w:r>
      <w:r>
        <w:rPr>
          <w:rFonts w:hint="eastAsia" w:ascii="微软雅黑" w:hAnsi="微软雅黑" w:eastAsia="微软雅黑"/>
          <w:sz w:val="21"/>
          <w:szCs w:val="21"/>
        </w:rPr>
        <w:t>如何在众多竞品中脱颖而出，作为传统的广告视频形式，如何在互联网时代创造热点传播，从而支持上市，迅速提供产品知名度和传播热度成为了这次拍摄的主要目标和挑战</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策略与创意</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rPr>
        <w:t>首先，选择秦昊作为这只广告片的男主角，选择秦昊正是由于前段时间高收视的电视剧的形象再次火编全网，但是如何保留秦昊的特点和人气，而又符合盖乐世note20产品气质形象是全片的重中之重</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rPr>
        <w:t>其次，盖乐世note20产品的表现，如何在秦昊和王晓晨的表演中更受到关注，将直接影响全片的传播效果</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b/>
          <w:bCs/>
          <w:sz w:val="21"/>
          <w:szCs w:val="21"/>
        </w:rPr>
        <w:t>创意和创新</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rPr>
        <w:t>为了不影响整片的质量，避免道具难免出现的披露，营造雨林的真实感觉，我们用真实的树木，在摄影棚中短时间内建造了一个真实的热带雨林</w:t>
      </w:r>
      <w:r>
        <w:rPr>
          <w:rFonts w:hint="eastAsia" w:ascii="微软雅黑" w:hAnsi="微软雅黑" w:eastAsia="微软雅黑"/>
          <w:sz w:val="21"/>
          <w:szCs w:val="21"/>
          <w:lang w:eastAsia="zh-CN"/>
        </w:rPr>
        <w:t>、</w:t>
      </w:r>
      <w:r>
        <w:rPr>
          <w:rFonts w:hint="eastAsia" w:ascii="微软雅黑" w:hAnsi="微软雅黑" w:eastAsia="微软雅黑"/>
          <w:sz w:val="21"/>
          <w:szCs w:val="21"/>
        </w:rPr>
        <w:t>参天的阔叶林，低矮的热带灌木，高温的天气，甚至带着潮湿的季风</w:t>
      </w:r>
      <w:r>
        <w:rPr>
          <w:rFonts w:hint="eastAsia" w:ascii="微软雅黑" w:hAnsi="微软雅黑" w:eastAsia="微软雅黑"/>
          <w:sz w:val="21"/>
          <w:szCs w:val="21"/>
          <w:lang w:eastAsia="zh-CN"/>
        </w:rPr>
        <w:t>，</w:t>
      </w:r>
      <w:r>
        <w:rPr>
          <w:rFonts w:hint="eastAsia" w:ascii="微软雅黑" w:hAnsi="微软雅黑" w:eastAsia="微软雅黑"/>
          <w:sz w:val="21"/>
          <w:szCs w:val="21"/>
        </w:rPr>
        <w:t>我们保证了搭建雨林的植物的生命同时拍摄</w:t>
      </w:r>
      <w:r>
        <w:rPr>
          <w:rFonts w:hint="eastAsia" w:ascii="微软雅黑" w:hAnsi="微软雅黑" w:eastAsia="微软雅黑"/>
          <w:sz w:val="21"/>
          <w:szCs w:val="21"/>
          <w:lang w:eastAsia="zh-CN"/>
        </w:rPr>
        <w:t>，</w:t>
      </w:r>
      <w:r>
        <w:rPr>
          <w:rFonts w:hint="eastAsia" w:ascii="微软雅黑" w:hAnsi="微软雅黑" w:eastAsia="微软雅黑"/>
          <w:sz w:val="21"/>
          <w:szCs w:val="21"/>
        </w:rPr>
        <w:t>拍摄结束后，所有植物都已经获得妥善的重新种植</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drawing>
          <wp:inline distT="0" distB="0" distL="0" distR="0">
            <wp:extent cx="5720715" cy="324294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720715" cy="324294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执行过程/媒体表现</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rPr>
        <w:t>通过阳光、明亮、绿色的场景，重新设计一个阳光帅气的秦昊区隔观众们印象深刻的隐晦的秦昊形象，利用场景的改变和秦昊身份的转变，再次提升秦昊的亲和感，同时更加注重秦昊演绎的细节动作，体现人物的特质更加符合产品</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sz w:val="21"/>
          <w:szCs w:val="21"/>
          <w:lang w:eastAsia="zh-CN"/>
        </w:rPr>
      </w:pPr>
      <w:r>
        <w:rPr>
          <w:rFonts w:hint="eastAsia" w:ascii="微软雅黑" w:hAnsi="微软雅黑" w:eastAsia="微软雅黑"/>
          <w:sz w:val="21"/>
          <w:szCs w:val="21"/>
        </w:rPr>
        <w:t>以盖乐世note20功能作为全片的贯穿线，用产品带动剧情，时刻保持产品在演员表演的主导地位</w:t>
      </w:r>
      <w:r>
        <w:rPr>
          <w:rFonts w:hint="eastAsia" w:ascii="微软雅黑" w:hAnsi="微软雅黑" w:eastAsia="微软雅黑"/>
          <w:sz w:val="21"/>
          <w:szCs w:val="21"/>
          <w:lang w:eastAsia="zh-CN"/>
        </w:rPr>
        <w:t>，</w:t>
      </w:r>
      <w:r>
        <w:rPr>
          <w:rFonts w:hint="eastAsia" w:ascii="微软雅黑" w:hAnsi="微软雅黑" w:eastAsia="微软雅黑"/>
          <w:sz w:val="21"/>
          <w:szCs w:val="21"/>
        </w:rPr>
        <w:t>利用演员的互动表现产品功能，用剧情引导产品，杜绝粗暴直接的用夸张的功能表现吸引廉价短时的关注</w:t>
      </w:r>
      <w:r>
        <w:rPr>
          <w:rFonts w:hint="eastAsia" w:ascii="微软雅黑" w:hAnsi="微软雅黑" w:eastAsia="微软雅黑"/>
          <w:sz w:val="21"/>
          <w:szCs w:val="21"/>
          <w:lang w:eastAsia="zh-CN"/>
        </w:rPr>
        <w:t>，</w:t>
      </w:r>
      <w:r>
        <w:rPr>
          <w:rFonts w:hint="eastAsia" w:ascii="微软雅黑" w:hAnsi="微软雅黑" w:eastAsia="微软雅黑"/>
          <w:sz w:val="21"/>
          <w:szCs w:val="21"/>
        </w:rPr>
        <w:t>黑色光影与清新绿色光影的对比和切换，更好的表达了工作和生活两个极致</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sz w:val="21"/>
          <w:szCs w:val="21"/>
        </w:rPr>
      </w:pPr>
      <w:r>
        <w:rPr>
          <w:rFonts w:ascii="微软雅黑" w:hAnsi="微软雅黑" w:eastAsia="微软雅黑"/>
          <w:sz w:val="21"/>
          <w:szCs w:val="21"/>
        </w:rPr>
        <w:drawing>
          <wp:inline distT="0" distB="0" distL="0" distR="0">
            <wp:extent cx="3182620" cy="18408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182620" cy="1840865"/>
                    </a:xfrm>
                    <a:prstGeom prst="rect">
                      <a:avLst/>
                    </a:prstGeom>
                    <a:noFill/>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rPr>
        <w:t>通过实景与动画的结合展示手机颜色的改变，自然而又真实，符合奇遇的场景和认知</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sz w:val="21"/>
          <w:szCs w:val="21"/>
        </w:rPr>
      </w:pPr>
      <w:r>
        <w:drawing>
          <wp:inline distT="0" distB="0" distL="0" distR="0">
            <wp:extent cx="3180080" cy="1818640"/>
            <wp:effectExtent l="0" t="0" r="127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180285" cy="1819149"/>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rPr>
        <w:t>音乐与道具的使用更是深思熟虑，音乐与场景的切换，沙漏代表着时间和功能</w:t>
      </w:r>
      <w:r>
        <w:rPr>
          <w:rFonts w:hint="eastAsia" w:ascii="微软雅黑" w:hAnsi="微软雅黑" w:eastAsia="微软雅黑"/>
          <w:sz w:val="21"/>
          <w:szCs w:val="21"/>
          <w:lang w:eastAsia="zh-CN"/>
        </w:rPr>
        <w:t>，</w:t>
      </w:r>
      <w:r>
        <w:rPr>
          <w:rFonts w:hint="eastAsia" w:ascii="微软雅黑" w:hAnsi="微软雅黑" w:eastAsia="微软雅黑"/>
          <w:sz w:val="21"/>
          <w:szCs w:val="21"/>
        </w:rPr>
        <w:t>薄荷和茶代表着人群</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b/>
        </w:rPr>
      </w:pPr>
      <w:r>
        <w:rPr>
          <w:rFonts w:ascii="微软雅黑" w:hAnsi="微软雅黑" w:eastAsia="微软雅黑"/>
          <w:b/>
        </w:rPr>
        <w:drawing>
          <wp:inline distT="0" distB="0" distL="0" distR="0">
            <wp:extent cx="3261360" cy="18230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261360" cy="1823085"/>
                    </a:xfrm>
                    <a:prstGeom prst="rect">
                      <a:avLst/>
                    </a:prstGeom>
                    <a:noFill/>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营销效果与市场反馈</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sz w:val="21"/>
          <w:szCs w:val="21"/>
          <w:lang w:eastAsia="zh-CN"/>
        </w:rPr>
      </w:pPr>
      <w:r>
        <w:rPr>
          <w:rFonts w:hint="eastAsia" w:ascii="微软雅黑" w:hAnsi="微软雅黑" w:eastAsia="微软雅黑"/>
          <w:sz w:val="21"/>
          <w:szCs w:val="21"/>
        </w:rPr>
        <w:t>新浪微博开启“秦昊迷雾奇遇”话题传播，阅读量3</w:t>
      </w:r>
      <w:r>
        <w:rPr>
          <w:rFonts w:ascii="微软雅黑" w:hAnsi="微软雅黑" w:eastAsia="微软雅黑"/>
          <w:sz w:val="21"/>
          <w:szCs w:val="21"/>
        </w:rPr>
        <w:t>.2</w:t>
      </w:r>
      <w:r>
        <w:rPr>
          <w:rFonts w:hint="eastAsia" w:ascii="微软雅黑" w:hAnsi="微软雅黑" w:eastAsia="微软雅黑"/>
          <w:sz w:val="21"/>
          <w:szCs w:val="21"/>
        </w:rPr>
        <w:t>亿，讨论话题超过6</w:t>
      </w:r>
      <w:r>
        <w:rPr>
          <w:rFonts w:ascii="微软雅黑" w:hAnsi="微软雅黑" w:eastAsia="微软雅黑"/>
          <w:sz w:val="21"/>
          <w:szCs w:val="21"/>
        </w:rPr>
        <w:t>.3</w:t>
      </w:r>
      <w:r>
        <w:rPr>
          <w:rFonts w:hint="eastAsia" w:ascii="微软雅黑" w:hAnsi="微软雅黑" w:eastAsia="微软雅黑"/>
          <w:sz w:val="21"/>
          <w:szCs w:val="21"/>
        </w:rPr>
        <w:t>万</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jc w:val="center"/>
        <w:rPr>
          <w:rFonts w:ascii="微软雅黑" w:hAnsi="微软雅黑" w:eastAsia="微软雅黑"/>
          <w:color w:val="FF0000"/>
          <w:sz w:val="20"/>
        </w:rPr>
      </w:pPr>
      <w:r>
        <w:rPr>
          <w:rFonts w:ascii="微软雅黑" w:hAnsi="微软雅黑" w:eastAsia="微软雅黑"/>
          <w:color w:val="FF0000"/>
          <w:sz w:val="20"/>
        </w:rPr>
        <w:drawing>
          <wp:inline distT="0" distB="0" distL="0" distR="0">
            <wp:extent cx="4782820" cy="14465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829817" cy="1461119"/>
                    </a:xfrm>
                    <a:prstGeom prst="rect">
                      <a:avLst/>
                    </a:prstGeom>
                    <a:noFill/>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Lines="50" w:afterAutospacing="1"/>
        <w:textAlignment w:val="baseline"/>
        <w:rPr>
          <w:rFonts w:ascii="微软雅黑" w:hAnsi="微软雅黑" w:eastAsia="微软雅黑"/>
          <w:b/>
        </w:rPr>
      </w:pPr>
      <w:bookmarkStart w:id="0" w:name="_Hlk500851437"/>
    </w:p>
    <w:bookmarkEnd w:id="0"/>
    <w:p>
      <w:pPr>
        <w:pStyle w:val="21"/>
        <w:keepNext w:val="0"/>
        <w:keepLines w:val="0"/>
        <w:pageBreakBefore w:val="0"/>
        <w:kinsoku/>
        <w:wordWrap/>
        <w:overflowPunct/>
        <w:topLinePunct w:val="0"/>
        <w:autoSpaceDE/>
        <w:autoSpaceDN/>
        <w:bidi w:val="0"/>
        <w:adjustRightInd/>
        <w:snapToGrid/>
        <w:spacing w:before="100" w:beforeAutospacing="1" w:after="100" w:afterAutospacing="1"/>
        <w:ind w:left="420" w:firstLine="0" w:firstLineChars="0"/>
        <w:rPr>
          <w:rFonts w:ascii="微软雅黑" w:hAnsi="微软雅黑" w:eastAsia="微软雅黑"/>
          <w:color w:val="FF0000"/>
          <w:szCs w:val="21"/>
        </w:rPr>
      </w:pPr>
    </w:p>
    <w:sectPr>
      <w:headerReference r:id="rId3" w:type="default"/>
      <w:footerReference r:id="rId4" w:type="default"/>
      <w:footerReference r:id="rId5"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16D4"/>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09FA"/>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90EF5"/>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3DF4"/>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00928"/>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C2934"/>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3704D"/>
    <w:rsid w:val="00B40529"/>
    <w:rsid w:val="00B413D5"/>
    <w:rsid w:val="00B5241D"/>
    <w:rsid w:val="00B54EBC"/>
    <w:rsid w:val="00B71E01"/>
    <w:rsid w:val="00B93BD6"/>
    <w:rsid w:val="00B93E3B"/>
    <w:rsid w:val="00BA0329"/>
    <w:rsid w:val="00BA7554"/>
    <w:rsid w:val="00BB0E07"/>
    <w:rsid w:val="00BB1A99"/>
    <w:rsid w:val="00BB7EC8"/>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60CF7"/>
    <w:rsid w:val="00E60DF3"/>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3AEE67EB"/>
    <w:rsid w:val="449C189E"/>
    <w:rsid w:val="453808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qFormat/>
    <w:uiPriority w:val="0"/>
    <w:rPr>
      <w:rFonts w:ascii="Arial" w:hAnsi="Arial" w:cs="Times New Roman"/>
      <w:sz w:val="18"/>
      <w:szCs w:val="20"/>
    </w:rPr>
  </w:style>
  <w:style w:type="paragraph" w:styleId="5">
    <w:name w:val="Balloon Text"/>
    <w:basedOn w:val="1"/>
    <w:link w:val="25"/>
    <w:semiHidden/>
    <w:unhideWhenUsed/>
    <w:uiPriority w:val="99"/>
    <w:rPr>
      <w:sz w:val="18"/>
      <w:szCs w:val="18"/>
    </w:rPr>
  </w:style>
  <w:style w:type="paragraph" w:styleId="6">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qFormat/>
    <w:uiPriority w:val="99"/>
    <w:pPr>
      <w:spacing w:before="100" w:beforeAutospacing="1" w:after="100" w:afterAutospacing="1"/>
    </w:pPr>
    <w:rPr>
      <w:rFonts w:cs="Times New Roman"/>
      <w:szCs w:val="20"/>
    </w:rPr>
  </w:style>
  <w:style w:type="paragraph" w:styleId="9">
    <w:name w:val="Title"/>
    <w:basedOn w:val="1"/>
    <w:link w:val="17"/>
    <w:qFormat/>
    <w:uiPriority w:val="0"/>
    <w:pPr>
      <w:jc w:val="center"/>
    </w:pPr>
    <w:rPr>
      <w:rFonts w:ascii="Times New Roman" w:hAnsi="Times New Roman" w:cs="Times New Roman"/>
      <w:b/>
      <w:kern w:val="2"/>
      <w:sz w:val="28"/>
      <w:szCs w:val="20"/>
      <w:lang w:eastAsia="en-US"/>
    </w:rPr>
  </w:style>
  <w:style w:type="table" w:styleId="11">
    <w:name w:val="Table Grid"/>
    <w:basedOn w:val="10"/>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Strong"/>
    <w:basedOn w:val="12"/>
    <w:qFormat/>
    <w:uiPriority w:val="0"/>
    <w:rPr>
      <w:b/>
    </w:rPr>
  </w:style>
  <w:style w:type="character" w:styleId="14">
    <w:name w:val="page number"/>
    <w:basedOn w:val="12"/>
    <w:uiPriority w:val="0"/>
  </w:style>
  <w:style w:type="character" w:styleId="15">
    <w:name w:val="Emphasis"/>
    <w:basedOn w:val="12"/>
    <w:qFormat/>
    <w:uiPriority w:val="0"/>
    <w:rPr>
      <w:i/>
    </w:rPr>
  </w:style>
  <w:style w:type="character" w:styleId="16">
    <w:name w:val="Hyperlink"/>
    <w:basedOn w:val="12"/>
    <w:uiPriority w:val="0"/>
    <w:rPr>
      <w:color w:val="0000FF"/>
      <w:u w:val="single"/>
    </w:rPr>
  </w:style>
  <w:style w:type="character" w:customStyle="1" w:styleId="17">
    <w:name w:val="标题 字符"/>
    <w:basedOn w:val="12"/>
    <w:link w:val="9"/>
    <w:uiPriority w:val="0"/>
    <w:rPr>
      <w:b/>
      <w:sz w:val="28"/>
      <w:lang w:eastAsia="en-US"/>
    </w:rPr>
  </w:style>
  <w:style w:type="character" w:customStyle="1" w:styleId="18">
    <w:name w:val="bottom1"/>
    <w:basedOn w:val="12"/>
    <w:qFormat/>
    <w:uiPriority w:val="0"/>
    <w:rPr>
      <w:color w:val="6E6E6E"/>
    </w:rPr>
  </w:style>
  <w:style w:type="character" w:customStyle="1" w:styleId="19">
    <w:name w:val="apple-converted-space"/>
    <w:basedOn w:val="12"/>
    <w:uiPriority w:val="0"/>
  </w:style>
  <w:style w:type="character" w:customStyle="1" w:styleId="20">
    <w:name w:val="apple-style-span"/>
    <w:basedOn w:val="12"/>
    <w:qFormat/>
    <w:uiPriority w:val="0"/>
  </w:style>
  <w:style w:type="paragraph" w:styleId="21">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2">
    <w:name w:val="p0"/>
    <w:basedOn w:val="1"/>
    <w:uiPriority w:val="0"/>
    <w:pPr>
      <w:jc w:val="both"/>
    </w:pPr>
    <w:rPr>
      <w:rFonts w:ascii="Times New Roman" w:hAnsi="Times New Roman" w:cs="Times New Roman"/>
      <w:sz w:val="21"/>
      <w:szCs w:val="20"/>
    </w:rPr>
  </w:style>
  <w:style w:type="paragraph" w:customStyle="1" w:styleId="23">
    <w:name w:val="css"/>
    <w:basedOn w:val="1"/>
    <w:uiPriority w:val="0"/>
    <w:pPr>
      <w:spacing w:before="100" w:beforeAutospacing="1" w:after="100" w:afterAutospacing="1"/>
    </w:pPr>
    <w:rPr>
      <w:rFonts w:cs="Times New Roman"/>
      <w:color w:val="0F0000"/>
      <w:sz w:val="18"/>
      <w:szCs w:val="20"/>
    </w:rPr>
  </w:style>
  <w:style w:type="paragraph" w:customStyle="1" w:styleId="24">
    <w:name w:val="清單段落"/>
    <w:basedOn w:val="1"/>
    <w:uiPriority w:val="0"/>
    <w:pPr>
      <w:widowControl w:val="0"/>
      <w:ind w:left="720"/>
      <w:jc w:val="both"/>
    </w:pPr>
    <w:rPr>
      <w:rFonts w:ascii="Times New Roman" w:hAnsi="Times New Roman" w:cs="Times New Roman"/>
      <w:kern w:val="2"/>
      <w:sz w:val="21"/>
      <w:szCs w:val="20"/>
    </w:rPr>
  </w:style>
  <w:style w:type="character" w:customStyle="1" w:styleId="25">
    <w:name w:val="批注框文本 字符"/>
    <w:basedOn w:val="12"/>
    <w:link w:val="5"/>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60A492-2CCD-C641-89AD-283A31C664AF}">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3</Pages>
  <Words>178</Words>
  <Characters>1020</Characters>
  <Lines>8</Lines>
  <Paragraphs>2</Paragraphs>
  <TotalTime>142</TotalTime>
  <ScaleCrop>false</ScaleCrop>
  <LinksUpToDate>false</LinksUpToDate>
  <CharactersWithSpaces>1196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2015-11-23T07:28:00Z</dcterms:created>
  <dc:creator>雨林木风</dc:creator>
  <cp:lastModifiedBy>ylb</cp:lastModifiedBy>
  <cp:lastPrinted>2012-10-11T08:46:00Z</cp:lastPrinted>
  <dcterms:modified xsi:type="dcterms:W3CDTF">2021-02-21T07:44:29Z</dcterms:modified>
  <dc:title>No</dc:title>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