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北京现代《跨界车王 决战中型车》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北京现代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汽车及汽车服务相关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29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01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2020年7月22日，历经九代更迭，定位为“智慧运动美学中高级座驾”的北京现代第十代索纳塔正式上市，携手代言人杨幂，以突破之姿，重新定义中型车市场格局。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面对中型车市场，德日系位居榜首，美系紧随其后，自主上扬，韩系普跌的竞争格局，主机厂希望，第十代索纳塔能够在垂直媒体易车：成功上市，打造完美关注曲线。</w:t>
      </w:r>
      <w:r>
        <w:rPr>
          <w:rFonts w:ascii="微软雅黑" w:hAnsi="微软雅黑" w:eastAsia="微软雅黑"/>
          <w:b/>
          <w:bCs/>
          <w:sz w:val="21"/>
          <w:szCs w:val="21"/>
        </w:rPr>
        <w:t>通过分析，我们得出核心结论：把握新车上市关注周期规律，大曝光广告资源视线垄断，重点发力价值内容的深耕，二者结合，提升上市后第十代索纳塔关注。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基于此，易车联合北京最尖儿电台——三好坏男孩，多位车圈/跨界KOL，如白晓晨、赵璞等，共同为第十代索纳塔打造《跨界车王 决战中型车》双月特辑</w:t>
      </w:r>
      <w:r>
        <w:rPr>
          <w:rFonts w:hint="eastAsia" w:ascii="微软雅黑" w:hAnsi="微软雅黑" w:eastAsia="微软雅黑"/>
          <w:sz w:val="21"/>
          <w:szCs w:val="21"/>
        </w:rPr>
        <w:t>，深度舆论培养，树立中级车王者标杆形象。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8810" cy="2729230"/>
            <wp:effectExtent l="0" t="0" r="1524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第十代索纳塔能够在垂直媒体易车：成功上市，打造完美关注曲线。</w:t>
      </w:r>
      <w:r>
        <w:rPr>
          <w:rFonts w:ascii="微软雅黑" w:hAnsi="微软雅黑" w:eastAsia="微软雅黑"/>
          <w:b/>
          <w:bCs/>
          <w:sz w:val="21"/>
          <w:szCs w:val="21"/>
        </w:rPr>
        <w:t>通过分析，我们得出核心结论：把握新车上市关注周期规律，大曝光广告资源视线垄断，重点发力价值内容的深耕，二者结合，提升上市后第十代索纳塔关注。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激烈的竞争环境里，如何打破垂直媒体以往的常规内容规划，不单纯做硬性评测、OPUGC内容、游记类内容，以创新的噱头、创新的形式和内容，特别是对节奏的把握，让新车上市之后，快速将车型优势产品力传递给广大目标受众，并与直接竞品形成有力的捆绑和突围，这是易车为北京现代第十代索纳塔规划《跨界车王 决战中型车》双月特辑背后的思考，以及再次刷新客户预期，赢得车型千万级以上费用的直接原因。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聚焦于优质内容，我们更思考深度更有价值的传播节奏。在预热期，我们有图文、视频等不同形式的预告内容，在朋友圈、微博、抖音等平台进行扩散，并邀请KOL进行转发，将话题传播出去，将用户的视线吸引过来。在爆发期，采取话题+视频+直播+图文四位一体的方式，制造联动效应，共产出6期视频，以每周一期的频率发布，视频发布后1-2天，配合视频内容，通过直播互动，有针对性的回答网友问题。同时，产出相关主图文，进行视频内容的复盘。在收尾期，KOL带队，第十代索纳塔与几款竞品车型进行巅峰对战，四个维度比拼，产出4支5分钟视频，并进行多渠道的传播影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2460" cy="24733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创新值：</w:t>
      </w:r>
      <w:r>
        <w:rPr>
          <w:rFonts w:ascii="微软雅黑" w:hAnsi="微软雅黑" w:eastAsia="微软雅黑"/>
          <w:sz w:val="21"/>
          <w:szCs w:val="21"/>
        </w:rPr>
        <w:t>我们从客户&amp;车型的实际诉求出发，摒弃以往常规上市传播模式，拆解车型产品力，重新归纳整合形成新的竞争思路，最大化利用竞品车型的热度，带动本品车型的关注，并直接精准的传递给目标受众和潜客；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准确度：</w:t>
      </w:r>
      <w:r>
        <w:rPr>
          <w:rFonts w:ascii="微软雅黑" w:hAnsi="微软雅黑" w:eastAsia="微软雅黑"/>
          <w:sz w:val="21"/>
          <w:szCs w:val="21"/>
        </w:rPr>
        <w:t>中型车用户最关注的点，我们都能精准客观的告诉他们，为他们选择车型提供最有利的依据，也为传播的核心目标第十代索纳塔占据市场关注及认可，建立最全维度的舆论内容织网；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专业性：</w:t>
      </w:r>
      <w:r>
        <w:rPr>
          <w:rFonts w:ascii="微软雅黑" w:hAnsi="微软雅黑" w:eastAsia="微软雅黑"/>
          <w:sz w:val="21"/>
          <w:szCs w:val="21"/>
        </w:rPr>
        <w:t>我们并未忽视垂直媒体在汽车专业内容生产上的价值，围绕在“设计”“动力”“科技”等产品点，直接与该点上最具热度的车型进行较量，逐一击破的思路始终贯穿，强势出击，更分流到竞品车型关注人群；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话题度：</w:t>
      </w:r>
      <w:r>
        <w:rPr>
          <w:rFonts w:ascii="微软雅黑" w:hAnsi="微软雅黑" w:eastAsia="微软雅黑"/>
          <w:sz w:val="21"/>
          <w:szCs w:val="21"/>
        </w:rPr>
        <w:t>第十代索纳塔以极致突破的姿态，力争成为搅动中型车市场的一条鲶鱼。打造“跨界车王决战中型车”专题，以贴合用户关注的话题角度切入，并鼓励网友积极互动，保持内容舆论热度。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3752850" cy="2110740"/>
            <wp:effectExtent l="0" t="0" r="0" b="381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3332" cy="21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数据表现：</w:t>
      </w:r>
      <w:r>
        <w:rPr>
          <w:rFonts w:ascii="微软雅黑" w:hAnsi="微软雅黑" w:eastAsia="微软雅黑"/>
          <w:sz w:val="21"/>
          <w:szCs w:val="21"/>
        </w:rPr>
        <w:t>在易车，两个月实际关注排名，平均排名第7。（未上市前在15名以后）</w:t>
      </w:r>
      <w:r>
        <w:rPr>
          <w:rFonts w:hint="eastAsia" w:ascii="微软雅黑" w:hAnsi="微软雅黑" w:eastAsia="微软雅黑"/>
          <w:sz w:val="21"/>
          <w:szCs w:val="21"/>
        </w:rPr>
        <w:t>；</w:t>
      </w:r>
      <w:r>
        <w:rPr>
          <w:rFonts w:ascii="微软雅黑" w:hAnsi="微软雅黑" w:eastAsia="微软雅黑"/>
          <w:sz w:val="21"/>
          <w:szCs w:val="21"/>
        </w:rPr>
        <w:t>广告“满天星宣推计划”总曝光34亿，曝光溢出19%，总点击28亿，点击溢出26%；内容实际浏览数2020万，溢出38%。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覆盖率：</w:t>
      </w:r>
      <w:r>
        <w:rPr>
          <w:rFonts w:ascii="微软雅黑" w:hAnsi="微软雅黑" w:eastAsia="微软雅黑"/>
          <w:sz w:val="21"/>
          <w:szCs w:val="21"/>
        </w:rPr>
        <w:t>以易车平台为主阵地，进行内容的深度发酵，实现对易车用户精准影响；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精准度：</w:t>
      </w:r>
      <w:r>
        <w:rPr>
          <w:rFonts w:ascii="微软雅黑" w:hAnsi="微软雅黑" w:eastAsia="微软雅黑"/>
          <w:sz w:val="21"/>
          <w:szCs w:val="21"/>
        </w:rPr>
        <w:t>锁定第十代索纳塔车型优势卖点，捆绑热门竞品实现本品的价值传播，既保证了本品潜客的收割，又达到了竞品用户的分流。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整合度：</w:t>
      </w:r>
      <w:r>
        <w:rPr>
          <w:rFonts w:ascii="微软雅黑" w:hAnsi="微软雅黑" w:eastAsia="微软雅黑"/>
          <w:sz w:val="21"/>
          <w:szCs w:val="21"/>
        </w:rPr>
        <w:t>集中易车优势资源，在广告层面，以常规广告+特殊广告（特备资源）形成“满天星宣推计划”阵地，最大化保证车型上市关注；内容层面：集中推出持续两个月的特辑《跨界车王 决战中型车》，形成深度舆论发酵，实现对车型产品力的极致渗透；另外，在上市后期，以电商活动，进行第一波购车线索的高效收割，进一步形象真实口碑的输出。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drawing>
          <wp:inline distT="0" distB="0" distL="0" distR="0">
            <wp:extent cx="5179695" cy="2428240"/>
            <wp:effectExtent l="0" t="0" r="1905" b="10160"/>
            <wp:docPr id="4" name="图片 4" descr="图片包含 轨道, 灯光, 雪, 时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轨道, 灯光, 雪, 时间&#10;&#10;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0968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D5558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49F6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044C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49A"/>
    <w:rsid w:val="006853C8"/>
    <w:rsid w:val="00693C3F"/>
    <w:rsid w:val="006955F5"/>
    <w:rsid w:val="006A24F1"/>
    <w:rsid w:val="006A26AE"/>
    <w:rsid w:val="006B5BB6"/>
    <w:rsid w:val="006C16A7"/>
    <w:rsid w:val="006C1733"/>
    <w:rsid w:val="006D2064"/>
    <w:rsid w:val="006D4934"/>
    <w:rsid w:val="006D5766"/>
    <w:rsid w:val="006F421E"/>
    <w:rsid w:val="006F424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C28C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7573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0AC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4</Pages>
  <Words>344</Words>
  <Characters>1961</Characters>
  <Lines>16</Lines>
  <Paragraphs>4</Paragraphs>
  <TotalTime>4</TotalTime>
  <ScaleCrop>false</ScaleCrop>
  <LinksUpToDate>false</LinksUpToDate>
  <CharactersWithSpaces>2301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2021-02-04T09:37:53Z</dcterms:modified>
  <dc:title>No</dc:title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