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1" w:name="_GoBack"/>
      <w:r>
        <w:rPr>
          <w:rFonts w:hint="eastAsia" w:ascii="微软雅黑" w:hAnsi="微软雅黑" w:eastAsia="微软雅黑"/>
          <w:b/>
          <w:sz w:val="32"/>
          <w:szCs w:val="32"/>
        </w:rPr>
        <w:t>保时捷 2020 CNY Campaign：鼠年梦工厂</w:t>
      </w:r>
    </w:p>
    <w:bookmarkEnd w:id="1"/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保时捷中国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</w:t>
      </w:r>
      <w:r>
        <w:rPr>
          <w:rFonts w:hint="eastAsia" w:ascii="微软雅黑" w:hAnsi="微软雅黑" w:eastAsia="微软雅黑"/>
          <w:bCs/>
          <w:sz w:val="21"/>
          <w:szCs w:val="21"/>
        </w:rPr>
        <w:t>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2.</w:t>
      </w:r>
      <w:r>
        <w:rPr>
          <w:rFonts w:ascii="微软雅黑" w:hAnsi="微软雅黑" w:eastAsia="微软雅黑"/>
          <w:sz w:val="21"/>
          <w:szCs w:val="21"/>
        </w:rPr>
        <w:t>10</w:t>
      </w:r>
    </w:p>
    <w:p>
      <w:pPr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创意传播类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18180"/>
            <wp:effectExtent l="0" t="0" r="0" b="0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每年春节，保时捷 CRM 都有向车主送新春礼，传达关怀的传统。但在无媒体预算的情况下，保时捷 CNY Campaign 很难在众多品牌营销活动中脱颖而出。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实现小预算撬动大传播，让受众感受到保时捷除了赛道激情之外，还有对车主全方位的服务和关爱，助力保时捷成功出圈。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打造萌力十足的保时捷「萌鼠家族」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结合新年契机，用送新春祝福的方式，自造 IP 让消费者路转粉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变成保时捷免费的 KOC，自发进行传播，扩大 CNY 活动的影响力。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tLeast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基于保时捷打造“梦想之车”的品牌初心、融合保时捷的经典服务理念打造保时捷“鼠年梦工厂”。围绕 “造概念、赋人设、强概念”三大核心自造IP内容，彰显品牌理念及无微不至的关怀。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IP养成第1步 - 造概念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跳脱传统春节营销的调性，结合鼠年生肖及保时捷的赛道精神，以“萌鼠贺岁 新年奇遇”的概念，开启新年传播新姿势。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46120"/>
            <wp:effectExtent l="0" t="0" r="0" b="0"/>
            <wp:docPr id="5" name="图片 5" descr="图片包含 游戏机, 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, 汽车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IP养成第2步 - 赋人设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基于中国人新年讨彩头的传统，赋予萌鼠个性化人设，拉近与消费者之间的距离，高颜值的萌鼠家族，吸引大家收藏和分享。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视频：</w:t>
      </w:r>
      <w:r>
        <w:fldChar w:fldCharType="begin"/>
      </w:r>
      <w:r>
        <w:instrText xml:space="preserve"> HYPERLINK "https://www.bilibili.com/video/av885265901"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https://www.bilibili.com/video/av885265901</w:t>
      </w:r>
      <w:r>
        <w:rPr>
          <w:rStyle w:val="16"/>
          <w:rFonts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5720715" cy="2420620"/>
            <wp:effectExtent l="0" t="0" r="0" b="0"/>
            <wp:docPr id="19" name="图片 18" descr="桌子上有许多玩具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桌子上有许多玩具车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br w:type="page"/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IP养成第3步 - 强互动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借势盲盒文化，打造线上趣味H5互动，转动扭蛋机，进入“鼠年梦工厂”，萌鼠家族闪亮登场，为车主送上新年祝福，随机的盲盒机制，让惊喜升级。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0" b="0"/>
            <wp:docPr id="7" name="图片 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线下，车主收到萌鼠福蛋礼盒，通过扫码也可参与线上互动，完成流量再度收割。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活动期间，在微信、微博、抖音、小红书等社交平台上，车主自发晒出收到盲盒及礼物，产生大量优质UGC，助力传播持续发酵。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216525" cy="3477895"/>
            <wp:effectExtent l="0" t="0" r="3175" b="8255"/>
            <wp:docPr id="10" name="图片 10" descr="桌子上的玩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玩具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线上互动，扭蛋机h5，进入保时捷“鼠年梦工厂”，抽取限量盲盒，定制新年祝福，趣味互动，引发二次传播，在没有媒体投放的情况下，保时捷的“鼠年梦工厂”扭蛋机h5，触达 479294 人次，参与互动人数高达 10 万，成功拉新 9264 人次。线下延展，萌鼠家族福蛋礼盒，打通经销渠道，增强品牌和车主之间的粘性，通过扫码互动，完成流量再收割。多个社交平台，保时捷车主自发产生大量优质UGC，让传播持续发酵。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保时捷2020 CNY Campaign，线上线下的整合传播，让赠送车主新年礼物的传统节目，变得更加新奇有趣，成功唤起车主对于收礼的期待和满意度，进一步实现成功出圈，吸引大众关注的目的。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FF0000"/>
          <w:sz w:val="20"/>
        </w:rPr>
      </w:pPr>
      <w:r>
        <w:rPr>
          <w:rFonts w:ascii="微软雅黑" w:hAnsi="微软雅黑" w:eastAsia="微软雅黑"/>
          <w:szCs w:val="21"/>
        </w:rPr>
        <w:t>萌鼠家族的可爱演绎和盲盒随机获得机制所带来的不确定性，都激发起车主们对于保时捷2020年新年礼物的期待和好奇，成功引起广泛关注和讨论。成功增加车主与品牌之间的互动粘性。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color w:val="FF0000"/>
          <w:szCs w:val="21"/>
        </w:rPr>
      </w:pPr>
      <w:bookmarkStart w:id="0" w:name="_Hlk500851437"/>
      <w:r>
        <w:rPr>
          <w:rFonts w:hint="eastAsia" w:ascii="微软雅黑" w:hAnsi="微软雅黑" w:eastAsia="微软雅黑"/>
          <w:b/>
          <w:sz w:val="21"/>
          <w:szCs w:val="21"/>
        </w:rPr>
        <w:t>报奖视频：</w:t>
      </w:r>
      <w:bookmarkEnd w:id="0"/>
      <w:r>
        <w:rPr>
          <w:rFonts w:ascii="微软雅黑" w:hAnsi="微软雅黑" w:eastAsia="微软雅黑"/>
          <w:color w:val="FF0000"/>
          <w:szCs w:val="21"/>
        </w:rPr>
        <w:fldChar w:fldCharType="begin"/>
      </w:r>
      <w:r>
        <w:rPr>
          <w:rFonts w:ascii="微软雅黑" w:hAnsi="微软雅黑" w:eastAsia="微软雅黑"/>
          <w:color w:val="FF0000"/>
          <w:szCs w:val="21"/>
        </w:rPr>
        <w:instrText xml:space="preserve"> HYPERLINK "https://www.bilibili.com/video/av755373555" </w:instrText>
      </w:r>
      <w:r>
        <w:rPr>
          <w:rFonts w:ascii="微软雅黑" w:hAnsi="微软雅黑" w:eastAsia="微软雅黑"/>
          <w:color w:val="FF0000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https://www.bilibili.com/video/av755373555</w:t>
      </w:r>
      <w:r>
        <w:rPr>
          <w:rFonts w:ascii="微软雅黑" w:hAnsi="微软雅黑" w:eastAsia="微软雅黑"/>
          <w:color w:val="FF0000"/>
          <w:szCs w:val="21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0879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7C9A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5607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F0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43E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4DC1"/>
    <w:rsid w:val="0090208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A78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BE0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54B5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14A2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0F9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277</Words>
  <Characters>1581</Characters>
  <Lines>13</Lines>
  <Paragraphs>3</Paragraphs>
  <TotalTime>2</TotalTime>
  <ScaleCrop>false</ScaleCrop>
  <LinksUpToDate>false</LinksUpToDate>
  <CharactersWithSpaces>1855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2021-02-03T11:44:12Z</dcterms:modified>
  <dc:title>No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