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kinsoku/>
        <w:wordWrap/>
        <w:overflowPunct/>
        <w:topLinePunct w:val="0"/>
        <w:autoSpaceDE/>
        <w:autoSpaceDN/>
        <w:bidi w:val="0"/>
        <w:adjustRightInd/>
        <w:snapToGrid/>
        <w:spacing w:before="313" w:beforeLines="100" w:after="313" w:afterLines="100"/>
        <w:jc w:val="center"/>
        <w:textAlignment w:val="baseline"/>
        <w:rPr>
          <w:rFonts w:ascii="微软雅黑" w:hAnsi="微软雅黑" w:eastAsia="微软雅黑"/>
          <w:b/>
          <w:bCs/>
          <w:sz w:val="32"/>
          <w:szCs w:val="32"/>
        </w:rPr>
      </w:pPr>
      <w:r>
        <w:rPr>
          <w:rFonts w:hint="eastAsia" w:ascii="微软雅黑" w:hAnsi="微软雅黑" w:eastAsia="微软雅黑"/>
          <w:b/>
          <w:bCs/>
          <w:sz w:val="32"/>
          <w:szCs w:val="32"/>
        </w:rPr>
        <w:t>中国光大银行品牌抖音挑战赛推广项目</w:t>
      </w:r>
    </w:p>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中国光大银行</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bCs/>
          <w:sz w:val="21"/>
          <w:szCs w:val="21"/>
        </w:rPr>
        <w:t>银行</w:t>
      </w:r>
      <w:r>
        <w:rPr>
          <w:rFonts w:hint="eastAsia" w:ascii="微软雅黑" w:hAnsi="微软雅黑" w:eastAsia="微软雅黑"/>
          <w:sz w:val="21"/>
          <w:szCs w:val="21"/>
        </w:rPr>
        <w:t>财经类</w:t>
      </w:r>
    </w:p>
    <w:p>
      <w:pPr>
        <w:textAlignment w:val="baseline"/>
        <w:rPr>
          <w:rFonts w:ascii="微软雅黑" w:hAnsi="微软雅黑" w:eastAsia="微软雅黑"/>
          <w:bCs/>
          <w:sz w:val="21"/>
          <w:szCs w:val="21"/>
        </w:rPr>
      </w:pPr>
      <w:r>
        <w:rPr>
          <w:rFonts w:hint="eastAsia" w:ascii="微软雅黑" w:hAnsi="微软雅黑" w:eastAsia="微软雅黑"/>
          <w:b/>
          <w:sz w:val="21"/>
          <w:szCs w:val="21"/>
        </w:rPr>
        <w:t>执行时间：</w:t>
      </w:r>
      <w:r>
        <w:rPr>
          <w:rFonts w:hint="eastAsia" w:ascii="微软雅黑" w:hAnsi="微软雅黑" w:eastAsia="微软雅黑"/>
          <w:bCs/>
          <w:sz w:val="21"/>
          <w:szCs w:val="21"/>
        </w:rPr>
        <w:t>2020</w:t>
      </w:r>
      <w:r>
        <w:rPr>
          <w:rFonts w:hint="eastAsia" w:ascii="微软雅黑" w:hAnsi="微软雅黑" w:eastAsia="微软雅黑"/>
          <w:bCs/>
          <w:sz w:val="21"/>
          <w:szCs w:val="21"/>
          <w:lang w:val="en-US" w:eastAsia="zh-CN"/>
        </w:rPr>
        <w:t>.0</w:t>
      </w:r>
      <w:r>
        <w:rPr>
          <w:rFonts w:hint="eastAsia" w:ascii="微软雅黑" w:hAnsi="微软雅黑" w:eastAsia="微软雅黑"/>
          <w:bCs/>
          <w:sz w:val="21"/>
          <w:szCs w:val="21"/>
        </w:rPr>
        <w:t>7</w:t>
      </w:r>
      <w:r>
        <w:rPr>
          <w:rFonts w:hint="eastAsia" w:ascii="微软雅黑" w:hAnsi="微软雅黑" w:eastAsia="微软雅黑"/>
          <w:bCs/>
          <w:sz w:val="21"/>
          <w:szCs w:val="21"/>
          <w:lang w:val="en-US" w:eastAsia="zh-CN"/>
        </w:rPr>
        <w:t>.</w:t>
      </w:r>
      <w:r>
        <w:rPr>
          <w:rFonts w:hint="eastAsia" w:ascii="微软雅黑" w:hAnsi="微软雅黑" w:eastAsia="微软雅黑"/>
          <w:bCs/>
          <w:sz w:val="21"/>
          <w:szCs w:val="21"/>
        </w:rPr>
        <w:t>15-</w:t>
      </w:r>
      <w:r>
        <w:rPr>
          <w:rFonts w:hint="eastAsia" w:ascii="微软雅黑" w:hAnsi="微软雅黑" w:eastAsia="微软雅黑"/>
          <w:bCs/>
          <w:sz w:val="21"/>
          <w:szCs w:val="21"/>
          <w:lang w:val="en-US" w:eastAsia="zh-CN"/>
        </w:rPr>
        <w:t>0</w:t>
      </w:r>
      <w:r>
        <w:rPr>
          <w:rFonts w:hint="eastAsia" w:ascii="微软雅黑" w:hAnsi="微软雅黑" w:eastAsia="微软雅黑"/>
          <w:bCs/>
          <w:sz w:val="21"/>
          <w:szCs w:val="21"/>
        </w:rPr>
        <w:t>8</w:t>
      </w:r>
      <w:r>
        <w:rPr>
          <w:rFonts w:hint="eastAsia" w:ascii="微软雅黑" w:hAnsi="微软雅黑" w:eastAsia="微软雅黑"/>
          <w:bCs/>
          <w:sz w:val="21"/>
          <w:szCs w:val="21"/>
          <w:lang w:val="en-US" w:eastAsia="zh-CN"/>
        </w:rPr>
        <w:t>.</w:t>
      </w:r>
      <w:r>
        <w:rPr>
          <w:rFonts w:hint="eastAsia" w:ascii="微软雅黑" w:hAnsi="微软雅黑" w:eastAsia="微软雅黑"/>
          <w:bCs/>
          <w:sz w:val="21"/>
          <w:szCs w:val="21"/>
        </w:rPr>
        <w:t>18</w:t>
      </w:r>
    </w:p>
    <w:p>
      <w:pPr>
        <w:spacing w:after="240"/>
        <w:textAlignment w:val="baseline"/>
        <w:rPr>
          <w:rFonts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color w:val="auto"/>
          <w:sz w:val="21"/>
          <w:szCs w:val="21"/>
        </w:rPr>
        <w:t>短视频营销类</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bCs/>
          <w:sz w:val="21"/>
          <w:szCs w:val="21"/>
        </w:rPr>
        <w:t>品牌传播及营销背景介绍：</w:t>
      </w:r>
      <w:r>
        <w:rPr>
          <w:rFonts w:hint="eastAsia" w:ascii="微软雅黑" w:hAnsi="微软雅黑" w:eastAsia="微软雅黑"/>
          <w:sz w:val="21"/>
          <w:szCs w:val="21"/>
        </w:rPr>
        <w:t>中国光大银行一直致力于塑造“阳光、活力、积极向上”的企业品牌形象，在2020年8月18日即将迎来28周年行庆活动。</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bCs/>
          <w:sz w:val="21"/>
          <w:szCs w:val="21"/>
        </w:rPr>
        <w:t>行业发展背景：</w:t>
      </w:r>
      <w:r>
        <w:rPr>
          <w:rFonts w:hint="eastAsia" w:ascii="微软雅黑" w:hAnsi="微软雅黑" w:eastAsia="微软雅黑"/>
          <w:sz w:val="21"/>
          <w:szCs w:val="21"/>
        </w:rPr>
        <w:t>银行类品牌的广告投放及营销手段相对较为保守，通常以硬广投放为主，缺乏与年轻消费群体直接沟通渠道。</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bCs/>
          <w:sz w:val="21"/>
          <w:szCs w:val="21"/>
        </w:rPr>
        <w:t>面临的营销困境及挑战等：</w:t>
      </w:r>
      <w:r>
        <w:rPr>
          <w:rFonts w:hint="eastAsia" w:ascii="微软雅黑" w:hAnsi="微软雅黑" w:eastAsia="微软雅黑"/>
          <w:sz w:val="21"/>
          <w:szCs w:val="21"/>
        </w:rPr>
        <w:t>如何在受众面前一改银行以往刻板严肃的企业形象，且如何通过短视频营销的形式产生对品牌年轻化真正的助力。</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szCs w:val="21"/>
        </w:rPr>
      </w:pPr>
      <w:r>
        <w:rPr>
          <w:rFonts w:hint="eastAsia" w:ascii="微软雅黑" w:hAnsi="微软雅黑" w:eastAsia="微软雅黑"/>
          <w:szCs w:val="21"/>
        </w:rPr>
        <w:t>进一步提升光大银行“阳光、活力、积极向上”的品牌形象；提升品牌在年轻消费群体中的好感度</w:t>
      </w:r>
      <w:r>
        <w:rPr>
          <w:rFonts w:hint="eastAsia" w:ascii="微软雅黑" w:hAnsi="微软雅黑" w:eastAsia="微软雅黑"/>
          <w:szCs w:val="21"/>
          <w:lang w:val="en-US" w:eastAsia="zh-CN"/>
        </w:rPr>
        <w:t>;</w:t>
      </w:r>
      <w:r>
        <w:rPr>
          <w:rFonts w:hint="eastAsia" w:ascii="微软雅黑" w:hAnsi="微软雅黑" w:eastAsia="微软雅黑"/>
          <w:szCs w:val="21"/>
        </w:rPr>
        <w:t>提升企业内部凝聚力。</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sz w:val="21"/>
          <w:szCs w:val="21"/>
        </w:rPr>
      </w:pPr>
      <w:r>
        <w:rPr>
          <w:rFonts w:hint="eastAsia" w:ascii="微软雅黑" w:hAnsi="微软雅黑" w:eastAsia="微软雅黑"/>
          <w:sz w:val="21"/>
          <w:szCs w:val="21"/>
        </w:rPr>
        <w:t>通过互动挑战赛的形式，吸引网友参与，带动平台用户发掘生活中的发光时刻，鼓励消费者积极乐观的人生态度，并了解、熟知光大银行品牌；</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sz w:val="21"/>
          <w:szCs w:val="21"/>
        </w:rPr>
      </w:pPr>
      <w:r>
        <w:rPr>
          <w:rFonts w:hint="eastAsia" w:ascii="微软雅黑" w:hAnsi="微软雅黑" w:eastAsia="微软雅黑"/>
          <w:sz w:val="21"/>
          <w:szCs w:val="21"/>
        </w:rPr>
        <w:t>联合平台达人资源，对于本次项目内容以及业务进行生动的演绎，从不同的角度吸引网友了解品牌及业务的情况；</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bCs/>
          <w:sz w:val="21"/>
          <w:szCs w:val="21"/>
        </w:rPr>
      </w:pPr>
      <w:r>
        <w:rPr>
          <w:rFonts w:hint="eastAsia" w:ascii="微软雅黑" w:hAnsi="微软雅黑" w:eastAsia="微软雅黑"/>
          <w:bCs/>
          <w:sz w:val="21"/>
          <w:szCs w:val="21"/>
        </w:rPr>
        <w:t>发动全国分行员工参与，分享、演绎自己生活工作中的点点滴滴，提升企业凝聚力。</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szCs w:val="21"/>
        </w:rPr>
      </w:pPr>
      <w:r>
        <w:rPr>
          <w:rFonts w:hint="eastAsia" w:ascii="微软雅黑" w:hAnsi="微软雅黑" w:eastAsia="微软雅黑"/>
          <w:szCs w:val="21"/>
        </w:rPr>
        <w:t>中国光大银行#发光的你，与众不同#抖音挑战赛，通用户通过在品牌定制音乐背景中分享自己的“发光时刻”，以手势触发品牌定制贴纸的形式进行创作，形式简单，创作空间大。</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420" w:firstLine="0" w:firstLineChars="0"/>
        <w:jc w:val="center"/>
        <w:textAlignment w:val="baseline"/>
        <w:rPr>
          <w:rFonts w:hint="eastAsia" w:ascii="微软雅黑" w:hAnsi="微软雅黑" w:eastAsia="微软雅黑"/>
          <w:szCs w:val="21"/>
        </w:rPr>
      </w:pPr>
      <w:r>
        <w:drawing>
          <wp:inline distT="0" distB="0" distL="0" distR="0">
            <wp:extent cx="1333500" cy="2770505"/>
            <wp:effectExtent l="0" t="0" r="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5985" cy="2775815"/>
                    </a:xfrm>
                    <a:prstGeom prst="rect">
                      <a:avLst/>
                    </a:prstGeom>
                  </pic:spPr>
                </pic:pic>
              </a:graphicData>
            </a:graphic>
          </wp:inline>
        </w:drawing>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szCs w:val="21"/>
        </w:rPr>
      </w:pPr>
      <w:r>
        <w:rPr>
          <w:rFonts w:hint="eastAsia" w:ascii="微软雅黑" w:hAnsi="微软雅黑" w:eastAsia="微软雅黑"/>
          <w:szCs w:val="21"/>
        </w:rPr>
        <w:t>第一步，以舞蹈的形式发布品牌音乐及手势使用示范。视频中身着光大银行制服的小姐姐随着动感的音乐在不同的场景下跳舞，作抖音挑战赛参与示范；</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870200" cy="3645535"/>
            <wp:effectExtent l="0" t="0" r="0" b="12065"/>
            <wp:docPr id="1" name="图片 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1"/>
                    <pic:cNvPicPr>
                      <a:picLocks noChangeAspect="1"/>
                    </pic:cNvPicPr>
                  </pic:nvPicPr>
                  <pic:blipFill>
                    <a:blip r:embed="rId11"/>
                    <a:stretch>
                      <a:fillRect/>
                    </a:stretch>
                  </pic:blipFill>
                  <pic:spPr>
                    <a:xfrm>
                      <a:off x="0" y="0"/>
                      <a:ext cx="2870200" cy="3645535"/>
                    </a:xfrm>
                    <a:prstGeom prst="rect">
                      <a:avLst/>
                    </a:prstGeom>
                  </pic:spPr>
                </pic:pic>
              </a:graphicData>
            </a:graphic>
          </wp:inline>
        </w:drawing>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szCs w:val="21"/>
        </w:rPr>
      </w:pPr>
      <w:r>
        <w:rPr>
          <w:rFonts w:hint="eastAsia" w:ascii="微软雅黑" w:hAnsi="微软雅黑" w:eastAsia="微软雅黑"/>
          <w:szCs w:val="21"/>
        </w:rPr>
        <w:t>第二步，邀请六位平台KOL进行结合光大银行本次项目及业务线产品进行创作，KOL涉及包括：情感励志、硬核知识、生活搞怪、舞蹈音乐等多个领域；</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420" w:firstLine="0" w:firstLineChars="0"/>
        <w:textAlignment w:val="baseline"/>
        <w:rPr>
          <w:rFonts w:ascii="微软雅黑" w:hAnsi="微软雅黑" w:eastAsia="微软雅黑"/>
          <w:szCs w:val="21"/>
        </w:rPr>
      </w:pPr>
      <w:r>
        <w:drawing>
          <wp:inline distT="0" distB="0" distL="0" distR="0">
            <wp:extent cx="5105400" cy="3467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129104" cy="3483169"/>
                    </a:xfrm>
                    <a:prstGeom prst="rect">
                      <a:avLst/>
                    </a:prstGeom>
                  </pic:spPr>
                </pic:pic>
              </a:graphicData>
            </a:graphic>
          </wp:inline>
        </w:drawing>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szCs w:val="21"/>
        </w:rPr>
      </w:pPr>
      <w:r>
        <w:rPr>
          <w:rFonts w:hint="eastAsia" w:ascii="微软雅黑" w:hAnsi="微软雅黑" w:eastAsia="微软雅黑"/>
          <w:szCs w:val="21"/>
        </w:rPr>
        <w:t>第三步，光大银行各分行、部门上传视频创作作品参与挑战赛，展现光大员工风貌及工作流程，带动平台用户上传自己的“发光时刻”。在参赛作品中选取优秀作品进行置顶，增加浏览量和提高挑战赛参赛质量。</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420" w:firstLine="0" w:firstLineChars="0"/>
        <w:textAlignment w:val="baseline"/>
        <w:rPr>
          <w:rFonts w:ascii="微软雅黑" w:hAnsi="微软雅黑" w:eastAsia="微软雅黑"/>
          <w:szCs w:val="21"/>
        </w:rPr>
      </w:pPr>
      <w:r>
        <w:drawing>
          <wp:inline distT="0" distB="0" distL="114300" distR="114300">
            <wp:extent cx="5412105" cy="3468370"/>
            <wp:effectExtent l="0" t="0" r="17145"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412105" cy="346837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rPr>
          <w:rFonts w:hint="eastAsia" w:ascii="微软雅黑" w:hAnsi="微软雅黑" w:eastAsia="微软雅黑"/>
          <w:color w:val="000000" w:themeColor="text1"/>
          <w:sz w:val="20"/>
          <w14:textFill>
            <w14:solidFill>
              <w14:schemeClr w14:val="tx1"/>
            </w14:solidFill>
          </w14:textFill>
        </w:rPr>
      </w:pPr>
      <w:r>
        <w:rPr>
          <w:rFonts w:hint="eastAsia" w:ascii="微软雅黑" w:hAnsi="微软雅黑" w:eastAsia="微软雅黑"/>
          <w:color w:val="000000" w:themeColor="text1"/>
          <w:sz w:val="20"/>
          <w14:textFill>
            <w14:solidFill>
              <w14:schemeClr w14:val="tx1"/>
            </w14:solidFill>
          </w14:textFill>
        </w:rPr>
        <w:t>本次在抖音的总体投放中，曝光达</w:t>
      </w:r>
      <w:r>
        <w:rPr>
          <w:rFonts w:ascii="微软雅黑" w:hAnsi="微软雅黑" w:eastAsia="微软雅黑"/>
          <w:color w:val="000000" w:themeColor="text1"/>
          <w:sz w:val="20"/>
          <w14:textFill>
            <w14:solidFill>
              <w14:schemeClr w14:val="tx1"/>
            </w14:solidFill>
          </w14:textFill>
        </w:rPr>
        <w:t>26,322,166次，点击达505,083次，点击率为1.92%</w:t>
      </w:r>
      <w:r>
        <w:rPr>
          <w:rFonts w:hint="eastAsia" w:ascii="微软雅黑" w:hAnsi="微软雅黑" w:eastAsia="微软雅黑"/>
          <w:color w:val="000000" w:themeColor="text1"/>
          <w:sz w:val="20"/>
          <w14:textFill>
            <w14:solidFill>
              <w14:schemeClr w14:val="tx1"/>
            </w14:solidFill>
          </w14:textFill>
        </w:rPr>
        <w:t>，</w:t>
      </w:r>
      <w:r>
        <w:rPr>
          <w:rFonts w:hint="eastAsia" w:ascii="微软雅黑" w:hAnsi="微软雅黑" w:eastAsia="微软雅黑"/>
          <w:color w:val="000000" w:themeColor="text1"/>
          <w:sz w:val="20"/>
          <w:highlight w:val="none"/>
          <w14:textFill>
            <w14:solidFill>
              <w14:schemeClr w14:val="tx1"/>
            </w14:solidFill>
          </w14:textFill>
        </w:rPr>
        <w:t>整体播放量为</w:t>
      </w:r>
      <w:r>
        <w:rPr>
          <w:rFonts w:ascii="微软雅黑" w:hAnsi="微软雅黑" w:eastAsia="微软雅黑"/>
          <w:color w:val="000000" w:themeColor="text1"/>
          <w:sz w:val="20"/>
          <w:highlight w:val="none"/>
          <w14:textFill>
            <w14:solidFill>
              <w14:schemeClr w14:val="tx1"/>
            </w14:solidFill>
          </w14:textFill>
        </w:rPr>
        <w:t>27.2</w:t>
      </w:r>
      <w:r>
        <w:rPr>
          <w:rFonts w:hint="eastAsia" w:ascii="微软雅黑" w:hAnsi="微软雅黑" w:eastAsia="微软雅黑"/>
          <w:color w:val="000000" w:themeColor="text1"/>
          <w:sz w:val="20"/>
          <w:highlight w:val="none"/>
          <w14:textFill>
            <w14:solidFill>
              <w14:schemeClr w14:val="tx1"/>
            </w14:solidFill>
          </w14:textFill>
        </w:rPr>
        <w:t>亿次，视频参与数量</w:t>
      </w:r>
      <w:r>
        <w:rPr>
          <w:rFonts w:ascii="微软雅黑" w:hAnsi="微软雅黑" w:eastAsia="微软雅黑"/>
          <w:color w:val="000000" w:themeColor="text1"/>
          <w:sz w:val="20"/>
          <w:highlight w:val="none"/>
          <w14:textFill>
            <w14:solidFill>
              <w14:schemeClr w14:val="tx1"/>
            </w14:solidFill>
          </w14:textFill>
        </w:rPr>
        <w:t>10</w:t>
      </w:r>
      <w:r>
        <w:rPr>
          <w:rFonts w:hint="eastAsia" w:ascii="微软雅黑" w:hAnsi="微软雅黑" w:eastAsia="微软雅黑"/>
          <w:color w:val="000000" w:themeColor="text1"/>
          <w:sz w:val="20"/>
          <w:highlight w:val="none"/>
          <w14:textFill>
            <w14:solidFill>
              <w14:schemeClr w14:val="tx1"/>
            </w14:solidFill>
          </w14:textFill>
        </w:rPr>
        <w:t>万+</w:t>
      </w:r>
      <w:r>
        <w:rPr>
          <w:rFonts w:hint="eastAsia" w:ascii="微软雅黑" w:hAnsi="微软雅黑" w:eastAsia="微软雅黑"/>
          <w:color w:val="000000" w:themeColor="text1"/>
          <w:sz w:val="20"/>
          <w:lang w:eastAsia="zh-CN"/>
          <w14:textFill>
            <w14:solidFill>
              <w14:schemeClr w14:val="tx1"/>
            </w14:solidFill>
          </w14:textFill>
        </w:rPr>
        <w:t>，</w:t>
      </w:r>
      <w:r>
        <w:rPr>
          <w:rFonts w:ascii="微软雅黑" w:hAnsi="微软雅黑" w:eastAsia="微软雅黑"/>
          <w:color w:val="000000" w:themeColor="text1"/>
          <w:sz w:val="20"/>
          <w14:textFill>
            <w14:solidFill>
              <w14:schemeClr w14:val="tx1"/>
            </w14:solidFill>
          </w14:textFill>
        </w:rPr>
        <w:t>活动结束后，中国光大银行抖音官方号涨粉近2.5万。</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rPr>
          <w:rFonts w:hint="eastAsia" w:ascii="微软雅黑" w:hAnsi="微软雅黑" w:eastAsia="微软雅黑"/>
          <w:color w:val="000000" w:themeColor="text1"/>
          <w:sz w:val="20"/>
          <w:lang w:val="en-US" w:eastAsia="zh-CN"/>
          <w14:textFill>
            <w14:solidFill>
              <w14:schemeClr w14:val="tx1"/>
            </w14:solidFill>
          </w14:textFill>
        </w:rPr>
      </w:pPr>
      <w:r>
        <w:rPr>
          <w:rFonts w:hint="eastAsia" w:ascii="微软雅黑" w:hAnsi="微软雅黑" w:eastAsia="微软雅黑"/>
          <w:color w:val="000000" w:themeColor="text1"/>
          <w:sz w:val="20"/>
          <w14:textFill>
            <w14:solidFill>
              <w14:schemeClr w14:val="tx1"/>
            </w14:solidFill>
          </w14:textFill>
        </w:rPr>
        <w:t>借助本次项目合作，向光大用户展现了一个</w:t>
      </w:r>
      <w:r>
        <w:rPr>
          <w:rFonts w:hint="eastAsia" w:ascii="微软雅黑" w:hAnsi="微软雅黑" w:eastAsia="微软雅黑"/>
          <w:sz w:val="20"/>
        </w:rPr>
        <w:t>“阳光、活力、积极向上”的光大形象；通过新兴的营销手法与内容</w:t>
      </w:r>
      <w:r>
        <w:rPr>
          <w:rFonts w:hint="eastAsia" w:ascii="微软雅黑" w:hAnsi="微软雅黑" w:eastAsia="微软雅黑"/>
          <w:color w:val="000000" w:themeColor="text1"/>
          <w:sz w:val="20"/>
          <w14:textFill>
            <w14:solidFill>
              <w14:schemeClr w14:val="tx1"/>
            </w14:solidFill>
          </w14:textFill>
        </w:rPr>
        <w:t>拉近品牌与年轻消费者的距离感；</w:t>
      </w:r>
      <w:r>
        <w:rPr>
          <w:rFonts w:hint="eastAsia" w:ascii="微软雅黑" w:hAnsi="微软雅黑" w:eastAsia="微软雅黑"/>
          <w:sz w:val="20"/>
        </w:rPr>
        <w:t>给予各分行员工一个展现自我的舞台，提升企业内部凝聚力</w:t>
      </w:r>
      <w:r>
        <w:rPr>
          <w:rFonts w:hint="eastAsia" w:ascii="微软雅黑" w:hAnsi="微软雅黑" w:eastAsia="微软雅黑"/>
          <w:sz w:val="20"/>
          <w:lang w:eastAsia="zh-CN"/>
        </w:rPr>
        <w:t>。</w:t>
      </w:r>
      <w:bookmarkStart w:id="0" w:name="_GoBack"/>
      <w:bookmarkEnd w:id="0"/>
    </w:p>
    <w:p>
      <w:pPr>
        <w:pStyle w:val="21"/>
        <w:ind w:left="420" w:firstLine="0" w:firstLineChars="0"/>
        <w:rPr>
          <w:rFonts w:ascii="微软雅黑" w:hAnsi="微软雅黑" w:eastAsia="微软雅黑"/>
          <w:color w:val="FF0000"/>
          <w:szCs w:val="21"/>
        </w:rPr>
      </w:pP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395A"/>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0FB3"/>
    <w:rsid w:val="00262A77"/>
    <w:rsid w:val="002707E7"/>
    <w:rsid w:val="00270EF0"/>
    <w:rsid w:val="002712AF"/>
    <w:rsid w:val="00274F8A"/>
    <w:rsid w:val="00275948"/>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1F67"/>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167"/>
    <w:rsid w:val="00492C50"/>
    <w:rsid w:val="004A4904"/>
    <w:rsid w:val="004C539E"/>
    <w:rsid w:val="004D0B68"/>
    <w:rsid w:val="004D25C5"/>
    <w:rsid w:val="004D3EF9"/>
    <w:rsid w:val="004D53A9"/>
    <w:rsid w:val="004E2C7A"/>
    <w:rsid w:val="004E459E"/>
    <w:rsid w:val="004E704D"/>
    <w:rsid w:val="004F1399"/>
    <w:rsid w:val="004F7523"/>
    <w:rsid w:val="005002D8"/>
    <w:rsid w:val="00506B17"/>
    <w:rsid w:val="00507EB8"/>
    <w:rsid w:val="005143BF"/>
    <w:rsid w:val="0052080E"/>
    <w:rsid w:val="005222A9"/>
    <w:rsid w:val="005238D7"/>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6BFE"/>
    <w:rsid w:val="005D77D7"/>
    <w:rsid w:val="005E3D19"/>
    <w:rsid w:val="005E4E84"/>
    <w:rsid w:val="006126FE"/>
    <w:rsid w:val="00613CE9"/>
    <w:rsid w:val="00625CF2"/>
    <w:rsid w:val="00642F29"/>
    <w:rsid w:val="00644994"/>
    <w:rsid w:val="00650F34"/>
    <w:rsid w:val="0065606B"/>
    <w:rsid w:val="0065759C"/>
    <w:rsid w:val="00661A8D"/>
    <w:rsid w:val="006707FE"/>
    <w:rsid w:val="0067611E"/>
    <w:rsid w:val="006853C8"/>
    <w:rsid w:val="00693C3F"/>
    <w:rsid w:val="006944FF"/>
    <w:rsid w:val="006955F5"/>
    <w:rsid w:val="006A24F1"/>
    <w:rsid w:val="006B5BB6"/>
    <w:rsid w:val="006C16A7"/>
    <w:rsid w:val="006C1733"/>
    <w:rsid w:val="006D2064"/>
    <w:rsid w:val="006D4934"/>
    <w:rsid w:val="006D5766"/>
    <w:rsid w:val="006F421E"/>
    <w:rsid w:val="006F662D"/>
    <w:rsid w:val="00701AFD"/>
    <w:rsid w:val="007040B0"/>
    <w:rsid w:val="00710B89"/>
    <w:rsid w:val="00715AD3"/>
    <w:rsid w:val="00716B53"/>
    <w:rsid w:val="0072102A"/>
    <w:rsid w:val="0072725D"/>
    <w:rsid w:val="0073004D"/>
    <w:rsid w:val="0073428A"/>
    <w:rsid w:val="007365E4"/>
    <w:rsid w:val="00753753"/>
    <w:rsid w:val="007538EE"/>
    <w:rsid w:val="00755841"/>
    <w:rsid w:val="00764220"/>
    <w:rsid w:val="00773AB2"/>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5AF6"/>
    <w:rsid w:val="008674D7"/>
    <w:rsid w:val="00880022"/>
    <w:rsid w:val="0088606F"/>
    <w:rsid w:val="008875A4"/>
    <w:rsid w:val="008B2200"/>
    <w:rsid w:val="008B689B"/>
    <w:rsid w:val="008B7CE8"/>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27C5"/>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80B"/>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82744"/>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5AE4"/>
    <w:rsid w:val="00C078EC"/>
    <w:rsid w:val="00C171FB"/>
    <w:rsid w:val="00C272F9"/>
    <w:rsid w:val="00C40E03"/>
    <w:rsid w:val="00C5015C"/>
    <w:rsid w:val="00C516C8"/>
    <w:rsid w:val="00C657FA"/>
    <w:rsid w:val="00C73B42"/>
    <w:rsid w:val="00C93159"/>
    <w:rsid w:val="00C96025"/>
    <w:rsid w:val="00CA397B"/>
    <w:rsid w:val="00CA426C"/>
    <w:rsid w:val="00CB1D85"/>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906FC"/>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9672B"/>
    <w:rsid w:val="00EA4712"/>
    <w:rsid w:val="00EA652C"/>
    <w:rsid w:val="00EB0731"/>
    <w:rsid w:val="00EC320D"/>
    <w:rsid w:val="00EC4DA4"/>
    <w:rsid w:val="00EC6379"/>
    <w:rsid w:val="00ED507C"/>
    <w:rsid w:val="00ED6F34"/>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38B4110C"/>
    <w:rsid w:val="42A12BBB"/>
    <w:rsid w:val="523862F6"/>
    <w:rsid w:val="7DF01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uiPriority w:val="0"/>
    <w:rPr>
      <w:rFonts w:ascii="Arial" w:hAnsi="Arial" w:cs="Times New Roman"/>
      <w:sz w:val="18"/>
      <w:szCs w:val="20"/>
    </w:rPr>
  </w:style>
  <w:style w:type="paragraph" w:styleId="5">
    <w:name w:val="Balloon Text"/>
    <w:basedOn w:val="1"/>
    <w:link w:val="25"/>
    <w:semiHidden/>
    <w:unhideWhenUsed/>
    <w:qFormat/>
    <w:uiPriority w:val="99"/>
    <w:rPr>
      <w:sz w:val="18"/>
      <w:szCs w:val="18"/>
    </w:rPr>
  </w:style>
  <w:style w:type="paragraph" w:styleId="6">
    <w:name w:val="footer"/>
    <w:basedOn w:val="1"/>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qFormat/>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字符"/>
    <w:basedOn w:val="12"/>
    <w:link w:val="9"/>
    <w:qFormat/>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qFormat/>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qFormat/>
    <w:uiPriority w:val="0"/>
    <w:pPr>
      <w:jc w:val="both"/>
    </w:pPr>
    <w:rPr>
      <w:rFonts w:ascii="Times New Roman" w:hAnsi="Times New Roman" w:cs="Times New Roman"/>
      <w:sz w:val="21"/>
      <w:szCs w:val="20"/>
    </w:rPr>
  </w:style>
  <w:style w:type="paragraph" w:customStyle="1" w:styleId="23">
    <w:name w:val="css"/>
    <w:basedOn w:val="1"/>
    <w:qFormat/>
    <w:uiPriority w:val="0"/>
    <w:pPr>
      <w:spacing w:before="100" w:beforeAutospacing="1" w:after="100" w:afterAutospacing="1"/>
    </w:pPr>
    <w:rPr>
      <w:rFonts w:cs="Times New Roman"/>
      <w:color w:val="0F0000"/>
      <w:sz w:val="18"/>
      <w:szCs w:val="20"/>
    </w:rPr>
  </w:style>
  <w:style w:type="paragraph" w:customStyle="1" w:styleId="24">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4</Pages>
  <Words>238</Words>
  <Characters>1360</Characters>
  <Lines>11</Lines>
  <Paragraphs>3</Paragraphs>
  <TotalTime>2</TotalTime>
  <ScaleCrop>false</ScaleCrop>
  <LinksUpToDate>false</LinksUpToDate>
  <CharactersWithSpaces>1595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2021-01-21T07:00:00Z</dcterms:created>
  <dc:creator>雨林木风</dc:creator>
  <cp:lastModifiedBy>ylb</cp:lastModifiedBy>
  <cp:lastPrinted>2012-10-11T08:46:00Z</cp:lastPrinted>
  <dcterms:modified xsi:type="dcterms:W3CDTF">2021-02-21T02:35:56Z</dcterms:modified>
  <dc:title>No</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