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63F8C" w:rsidRPr="00C718EC" w:rsidRDefault="00B97392" w:rsidP="00C718EC">
      <w:pPr>
        <w:spacing w:beforeLines="100" w:before="240" w:afterLines="100" w:after="240"/>
        <w:jc w:val="center"/>
        <w:textAlignment w:val="baseline"/>
        <w:rPr>
          <w:rFonts w:ascii="微软雅黑" w:eastAsia="微软雅黑" w:hAnsi="微软雅黑"/>
          <w:b/>
          <w:bCs/>
          <w:sz w:val="32"/>
          <w:szCs w:val="32"/>
        </w:rPr>
      </w:pPr>
      <w:bookmarkStart w:id="0" w:name="_GoBack"/>
      <w:r w:rsidRPr="00C718EC">
        <w:rPr>
          <w:rFonts w:ascii="微软雅黑" w:eastAsia="微软雅黑" w:hAnsi="微软雅黑" w:hint="eastAsia"/>
          <w:b/>
          <w:bCs/>
          <w:sz w:val="32"/>
          <w:szCs w:val="32"/>
        </w:rPr>
        <w:t>奔驰#头号领地#社交资产培养</w:t>
      </w:r>
      <w:bookmarkEnd w:id="0"/>
    </w:p>
    <w:p w:rsidR="00D63F8C" w:rsidRDefault="00B97392">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bCs/>
          <w:sz w:val="21"/>
          <w:szCs w:val="21"/>
        </w:rPr>
        <w:t>梅赛德斯-奔驰</w:t>
      </w:r>
    </w:p>
    <w:p w:rsidR="00D63F8C" w:rsidRDefault="00B97392">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汽车</w:t>
      </w:r>
    </w:p>
    <w:p w:rsidR="00D63F8C" w:rsidRDefault="00B97392">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bCs/>
          <w:sz w:val="21"/>
          <w:szCs w:val="21"/>
        </w:rPr>
        <w:t>2020.</w:t>
      </w:r>
      <w:r w:rsidR="00E716FE">
        <w:rPr>
          <w:rFonts w:ascii="微软雅黑" w:eastAsia="微软雅黑" w:hAnsi="微软雅黑"/>
          <w:bCs/>
          <w:sz w:val="21"/>
          <w:szCs w:val="21"/>
        </w:rPr>
        <w:t>0</w:t>
      </w:r>
      <w:r>
        <w:rPr>
          <w:rFonts w:ascii="微软雅黑" w:eastAsia="微软雅黑" w:hAnsi="微软雅黑" w:hint="eastAsia"/>
          <w:bCs/>
          <w:sz w:val="21"/>
          <w:szCs w:val="21"/>
        </w:rPr>
        <w:t>7</w:t>
      </w:r>
      <w:r w:rsidR="00E716FE">
        <w:rPr>
          <w:rFonts w:ascii="微软雅黑" w:eastAsia="微软雅黑" w:hAnsi="微软雅黑" w:hint="eastAsia"/>
          <w:bCs/>
          <w:sz w:val="21"/>
          <w:szCs w:val="21"/>
        </w:rPr>
        <w:t>.</w:t>
      </w:r>
      <w:r>
        <w:rPr>
          <w:rFonts w:ascii="微软雅黑" w:eastAsia="微软雅黑" w:hAnsi="微软雅黑" w:hint="eastAsia"/>
          <w:bCs/>
          <w:sz w:val="21"/>
          <w:szCs w:val="21"/>
        </w:rPr>
        <w:t>23-12</w:t>
      </w:r>
      <w:r w:rsidR="00E716FE">
        <w:rPr>
          <w:rFonts w:ascii="微软雅黑" w:eastAsia="微软雅黑" w:hAnsi="微软雅黑" w:hint="eastAsia"/>
          <w:bCs/>
          <w:sz w:val="21"/>
          <w:szCs w:val="21"/>
        </w:rPr>
        <w:t>.</w:t>
      </w:r>
      <w:r>
        <w:rPr>
          <w:rFonts w:ascii="微软雅黑" w:eastAsia="微软雅黑" w:hAnsi="微软雅黑" w:hint="eastAsia"/>
          <w:bCs/>
          <w:sz w:val="21"/>
          <w:szCs w:val="21"/>
        </w:rPr>
        <w:t>31</w:t>
      </w:r>
    </w:p>
    <w:p w:rsidR="00D63F8C" w:rsidRPr="00E716FE" w:rsidRDefault="00B97392" w:rsidP="00E716FE">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00E716FE" w:rsidRPr="00E716FE">
        <w:rPr>
          <w:rFonts w:ascii="微软雅黑" w:eastAsia="微软雅黑" w:hAnsi="微软雅黑" w:hint="eastAsia"/>
          <w:bCs/>
          <w:sz w:val="21"/>
          <w:szCs w:val="21"/>
        </w:rPr>
        <w:t>社会化营销类</w:t>
      </w:r>
    </w:p>
    <w:p w:rsidR="00D63F8C" w:rsidRDefault="00B97392" w:rsidP="00C718EC">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rsidR="00D63F8C" w:rsidRPr="00E716FE" w:rsidRDefault="00B97392" w:rsidP="00C718EC">
      <w:pPr>
        <w:spacing w:before="100" w:beforeAutospacing="1" w:after="100" w:afterAutospacing="1"/>
        <w:textAlignment w:val="baseline"/>
        <w:rPr>
          <w:rFonts w:ascii="微软雅黑" w:eastAsia="微软雅黑" w:hAnsi="微软雅黑"/>
          <w:bCs/>
          <w:sz w:val="21"/>
          <w:szCs w:val="21"/>
        </w:rPr>
      </w:pPr>
      <w:r w:rsidRPr="00E716FE">
        <w:rPr>
          <w:rFonts w:ascii="微软雅黑" w:eastAsia="微软雅黑" w:hAnsi="微软雅黑" w:hint="eastAsia"/>
          <w:bCs/>
          <w:sz w:val="21"/>
          <w:szCs w:val="21"/>
        </w:rPr>
        <w:t>奔驰需要为自己的新生代车型NGCC产品</w:t>
      </w:r>
      <w:r w:rsidR="00E716FE">
        <w:rPr>
          <w:rFonts w:ascii="微软雅黑" w:eastAsia="微软雅黑" w:hAnsi="微软雅黑" w:hint="eastAsia"/>
          <w:bCs/>
          <w:sz w:val="21"/>
          <w:szCs w:val="21"/>
        </w:rPr>
        <w:t>塑造</w:t>
      </w:r>
      <w:r w:rsidRPr="00E716FE">
        <w:rPr>
          <w:rFonts w:ascii="微软雅黑" w:eastAsia="微软雅黑" w:hAnsi="微软雅黑" w:hint="eastAsia"/>
          <w:bCs/>
          <w:sz w:val="21"/>
          <w:szCs w:val="21"/>
        </w:rPr>
        <w:t xml:space="preserve">一个全新的高识别度标签来培养忠实粉丝。（注：NGCC为奔驰新生代车型的缩写：New Generation </w:t>
      </w:r>
      <w:proofErr w:type="spellStart"/>
      <w:r w:rsidRPr="00E716FE">
        <w:rPr>
          <w:rFonts w:ascii="微软雅黑" w:eastAsia="微软雅黑" w:hAnsi="微软雅黑" w:hint="eastAsia"/>
          <w:bCs/>
          <w:sz w:val="21"/>
          <w:szCs w:val="21"/>
        </w:rPr>
        <w:t>Compacr</w:t>
      </w:r>
      <w:proofErr w:type="spellEnd"/>
      <w:r w:rsidRPr="00E716FE">
        <w:rPr>
          <w:rFonts w:ascii="微软雅黑" w:eastAsia="微软雅黑" w:hAnsi="微软雅黑" w:hint="eastAsia"/>
          <w:bCs/>
          <w:sz w:val="21"/>
          <w:szCs w:val="21"/>
        </w:rPr>
        <w:t xml:space="preserve"> Car，包括GLA、CLA、A级、B级。）</w:t>
      </w:r>
    </w:p>
    <w:p w:rsidR="00D63F8C" w:rsidRPr="00E716FE" w:rsidRDefault="00B97392" w:rsidP="00C718EC">
      <w:pPr>
        <w:spacing w:before="100" w:beforeAutospacing="1" w:after="100" w:afterAutospacing="1"/>
        <w:textAlignment w:val="baseline"/>
        <w:rPr>
          <w:rFonts w:ascii="微软雅黑" w:eastAsia="微软雅黑" w:hAnsi="微软雅黑"/>
          <w:bCs/>
          <w:sz w:val="21"/>
          <w:szCs w:val="21"/>
        </w:rPr>
      </w:pPr>
      <w:r w:rsidRPr="00E716FE">
        <w:rPr>
          <w:rFonts w:ascii="微软雅黑" w:eastAsia="微软雅黑" w:hAnsi="微软雅黑" w:hint="eastAsia"/>
          <w:bCs/>
          <w:sz w:val="21"/>
          <w:szCs w:val="21"/>
        </w:rPr>
        <w:t>奔驰的竞品宝马作为有同样营销诉求的先行者，采用热点话题向大众输出M家族热血标签内容的策略。奔驰则将自己的NGCC车型标签定义为#头号领地#相较于宝马很知名的M家族，而奔驰贴标签的是认识低的年轻车NGCC家族。由于维权、故宫、漏油负面事件频发，标签营销还要去面临舆论的阻力。头号领地标签锁定的是更难沟通的个性且多变的年轻TA。</w:t>
      </w:r>
    </w:p>
    <w:p w:rsidR="00D63F8C" w:rsidRDefault="00B97392" w:rsidP="00C718EC">
      <w:pPr>
        <w:spacing w:before="100" w:beforeAutospacing="1" w:after="100" w:afterAutospacing="1"/>
        <w:textAlignment w:val="baseline"/>
        <w:rPr>
          <w:rFonts w:ascii="微软雅黑" w:eastAsia="微软雅黑" w:hAnsi="微软雅黑"/>
          <w:bCs/>
        </w:rPr>
      </w:pPr>
      <w:r>
        <w:rPr>
          <w:noProof/>
        </w:rPr>
        <w:drawing>
          <wp:inline distT="0" distB="0" distL="114300" distR="114300">
            <wp:extent cx="5715635" cy="3096260"/>
            <wp:effectExtent l="0" t="0" r="1841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715635" cy="3096260"/>
                    </a:xfrm>
                    <a:prstGeom prst="rect">
                      <a:avLst/>
                    </a:prstGeom>
                    <a:noFill/>
                    <a:ln>
                      <a:noFill/>
                    </a:ln>
                  </pic:spPr>
                </pic:pic>
              </a:graphicData>
            </a:graphic>
          </wp:inline>
        </w:drawing>
      </w:r>
    </w:p>
    <w:p w:rsidR="00D63F8C" w:rsidRDefault="00B97392" w:rsidP="00C718EC">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rsidR="00D63F8C" w:rsidRDefault="00B97392" w:rsidP="00C718EC">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给NGCC车型塑造#头号领地标签#，并且培养目标兴趣粉丝池。深化用户认知，扩大年轻人群。</w:t>
      </w:r>
    </w:p>
    <w:p w:rsidR="00D63F8C" w:rsidRDefault="00B97392" w:rsidP="00C718EC">
      <w:pPr>
        <w:spacing w:before="100" w:beforeAutospacing="1" w:after="100" w:afterAutospacing="1"/>
        <w:textAlignment w:val="baseline"/>
        <w:rPr>
          <w:rFonts w:ascii="微软雅黑" w:eastAsia="微软雅黑" w:hAnsi="微软雅黑"/>
          <w:b/>
          <w:sz w:val="22"/>
        </w:rPr>
      </w:pPr>
      <w:r>
        <w:rPr>
          <w:rFonts w:ascii="微软雅黑" w:eastAsia="微软雅黑" w:hAnsi="微软雅黑" w:hint="eastAsia"/>
          <w:b/>
          <w:color w:val="0000FF"/>
          <w:sz w:val="28"/>
        </w:rPr>
        <w:t>策略与创意</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lastRenderedPageBreak/>
        <w:t>微博用数据分析方法去帮助奔驰找到更适合推进本次营销的策略。利用精准的方式实现头号领地标签有序的向兴趣圈层影响渗透，从而在微博上扩容培养NGCC家族粘性极高的铁粉资产。</w:t>
      </w:r>
    </w:p>
    <w:p w:rsidR="00D63F8C" w:rsidRDefault="00B97392" w:rsidP="00C718EC">
      <w:pPr>
        <w:textAlignment w:val="baseline"/>
        <w:rPr>
          <w:rFonts w:ascii="微软雅黑" w:eastAsia="微软雅黑" w:hAnsi="微软雅黑"/>
          <w:bCs/>
          <w:sz w:val="21"/>
          <w:szCs w:val="21"/>
        </w:rPr>
      </w:pPr>
      <w:r>
        <w:rPr>
          <w:rFonts w:ascii="微软雅黑" w:eastAsia="微软雅黑" w:hAnsi="微软雅黑" w:hint="eastAsia"/>
          <w:bCs/>
          <w:sz w:val="21"/>
          <w:szCs w:val="21"/>
        </w:rPr>
        <w:t>选粉：数据选择兴趣圈层，增加收割用户资产精准性</w:t>
      </w:r>
      <w:r w:rsidR="00E716FE">
        <w:rPr>
          <w:rFonts w:ascii="微软雅黑" w:eastAsia="微软雅黑" w:hAnsi="微软雅黑" w:hint="eastAsia"/>
          <w:bCs/>
          <w:sz w:val="21"/>
          <w:szCs w:val="21"/>
        </w:rPr>
        <w:t>。</w:t>
      </w:r>
    </w:p>
    <w:p w:rsidR="00D63F8C" w:rsidRDefault="00B97392" w:rsidP="00C718EC">
      <w:pPr>
        <w:textAlignment w:val="baseline"/>
        <w:rPr>
          <w:rFonts w:ascii="微软雅黑" w:eastAsia="微软雅黑" w:hAnsi="微软雅黑"/>
          <w:bCs/>
          <w:sz w:val="21"/>
          <w:szCs w:val="21"/>
        </w:rPr>
      </w:pPr>
      <w:r>
        <w:rPr>
          <w:rFonts w:ascii="微软雅黑" w:eastAsia="微软雅黑" w:hAnsi="微软雅黑" w:hint="eastAsia"/>
          <w:bCs/>
          <w:sz w:val="21"/>
          <w:szCs w:val="21"/>
        </w:rPr>
        <w:t>撩粉：数据锁定差异的沟通策略</w:t>
      </w:r>
      <w:r w:rsidR="00E716FE">
        <w:rPr>
          <w:rFonts w:ascii="微软雅黑" w:eastAsia="微软雅黑" w:hAnsi="微软雅黑" w:hint="eastAsia"/>
          <w:bCs/>
          <w:sz w:val="21"/>
          <w:szCs w:val="21"/>
        </w:rPr>
        <w:t>，实现</w:t>
      </w:r>
      <w:r>
        <w:rPr>
          <w:rFonts w:ascii="微软雅黑" w:eastAsia="微软雅黑" w:hAnsi="微软雅黑" w:hint="eastAsia"/>
          <w:bCs/>
          <w:sz w:val="21"/>
          <w:szCs w:val="21"/>
        </w:rPr>
        <w:t>NGCC家族头号领地标签的高效圈粉</w:t>
      </w:r>
      <w:r w:rsidR="00E716FE">
        <w:rPr>
          <w:rFonts w:ascii="微软雅黑" w:eastAsia="微软雅黑" w:hAnsi="微软雅黑" w:hint="eastAsia"/>
          <w:bCs/>
          <w:sz w:val="21"/>
          <w:szCs w:val="21"/>
        </w:rPr>
        <w:t>。</w:t>
      </w:r>
    </w:p>
    <w:p w:rsidR="00D63F8C" w:rsidRDefault="00B97392" w:rsidP="00C718EC">
      <w:pPr>
        <w:textAlignment w:val="baseline"/>
        <w:rPr>
          <w:rFonts w:ascii="微软雅黑" w:eastAsia="微软雅黑" w:hAnsi="微软雅黑"/>
          <w:bCs/>
          <w:sz w:val="21"/>
          <w:szCs w:val="21"/>
        </w:rPr>
      </w:pPr>
      <w:r>
        <w:rPr>
          <w:rFonts w:ascii="微软雅黑" w:eastAsia="微软雅黑" w:hAnsi="微软雅黑" w:hint="eastAsia"/>
          <w:bCs/>
          <w:sz w:val="21"/>
          <w:szCs w:val="21"/>
        </w:rPr>
        <w:t>养粉：数据精准优化铁粉培养，加深头号领地向NGCC，粉丝资产的渗透</w:t>
      </w:r>
      <w:r w:rsidR="00E716FE">
        <w:rPr>
          <w:rFonts w:ascii="微软雅黑" w:eastAsia="微软雅黑" w:hAnsi="微软雅黑" w:hint="eastAsia"/>
          <w:bCs/>
          <w:sz w:val="21"/>
          <w:szCs w:val="21"/>
        </w:rPr>
        <w:t>。</w:t>
      </w:r>
    </w:p>
    <w:p w:rsidR="00D63F8C" w:rsidRDefault="00B97392" w:rsidP="00C718EC">
      <w:pPr>
        <w:spacing w:before="100" w:beforeAutospacing="1" w:after="100" w:afterAutospacing="1"/>
        <w:textAlignment w:val="baseline"/>
      </w:pPr>
      <w:r>
        <w:rPr>
          <w:noProof/>
        </w:rPr>
        <w:drawing>
          <wp:inline distT="0" distB="0" distL="114300" distR="114300">
            <wp:extent cx="5717540" cy="3263265"/>
            <wp:effectExtent l="0" t="0" r="1651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717540" cy="3263265"/>
                    </a:xfrm>
                    <a:prstGeom prst="rect">
                      <a:avLst/>
                    </a:prstGeom>
                    <a:noFill/>
                    <a:ln>
                      <a:noFill/>
                    </a:ln>
                  </pic:spPr>
                </pic:pic>
              </a:graphicData>
            </a:graphic>
          </wp:inline>
        </w:drawing>
      </w:r>
    </w:p>
    <w:p w:rsidR="00D63F8C" w:rsidRDefault="00B97392" w:rsidP="00C718EC">
      <w:pPr>
        <w:spacing w:before="100" w:beforeAutospacing="1" w:after="100" w:afterAutospacing="1"/>
        <w:textAlignment w:val="baseline"/>
      </w:pPr>
      <w:r>
        <w:rPr>
          <w:noProof/>
        </w:rPr>
        <w:drawing>
          <wp:inline distT="0" distB="0" distL="114300" distR="114300">
            <wp:extent cx="5718810" cy="3164205"/>
            <wp:effectExtent l="0" t="0" r="1524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718810" cy="3164205"/>
                    </a:xfrm>
                    <a:prstGeom prst="rect">
                      <a:avLst/>
                    </a:prstGeom>
                    <a:noFill/>
                    <a:ln>
                      <a:noFill/>
                    </a:ln>
                  </pic:spPr>
                </pic:pic>
              </a:graphicData>
            </a:graphic>
          </wp:inline>
        </w:drawing>
      </w:r>
    </w:p>
    <w:p w:rsidR="00D63F8C" w:rsidRPr="00C718EC" w:rsidRDefault="00B97392" w:rsidP="00C718EC">
      <w:pPr>
        <w:spacing w:before="100" w:beforeAutospacing="1" w:after="100" w:afterAutospacing="1"/>
        <w:textAlignment w:val="baseline"/>
        <w:rPr>
          <w:rFonts w:hint="eastAsia"/>
        </w:rPr>
      </w:pPr>
      <w:r>
        <w:rPr>
          <w:noProof/>
        </w:rPr>
        <w:lastRenderedPageBreak/>
        <w:drawing>
          <wp:inline distT="0" distB="0" distL="114300" distR="114300">
            <wp:extent cx="5720715" cy="3009900"/>
            <wp:effectExtent l="0" t="0" r="133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720715" cy="3009900"/>
                    </a:xfrm>
                    <a:prstGeom prst="rect">
                      <a:avLst/>
                    </a:prstGeom>
                    <a:noFill/>
                    <a:ln>
                      <a:noFill/>
                    </a:ln>
                  </pic:spPr>
                </pic:pic>
              </a:graphicData>
            </a:graphic>
          </wp:inline>
        </w:drawing>
      </w:r>
    </w:p>
    <w:p w:rsidR="00D63F8C" w:rsidRDefault="00B97392" w:rsidP="00C718EC">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rsidR="00D63F8C" w:rsidRPr="00E716FE" w:rsidRDefault="00B97392" w:rsidP="00C718EC">
      <w:pPr>
        <w:spacing w:before="100" w:beforeAutospacing="1" w:after="100" w:afterAutospacing="1"/>
        <w:textAlignment w:val="baseline"/>
        <w:rPr>
          <w:rFonts w:ascii="微软雅黑" w:eastAsia="微软雅黑" w:hAnsi="微软雅黑"/>
          <w:b/>
          <w:bCs/>
          <w:sz w:val="21"/>
          <w:szCs w:val="21"/>
        </w:rPr>
      </w:pPr>
      <w:r w:rsidRPr="00E716FE">
        <w:rPr>
          <w:rFonts w:ascii="微软雅黑" w:eastAsia="微软雅黑" w:hAnsi="微软雅黑" w:hint="eastAsia"/>
          <w:b/>
          <w:bCs/>
          <w:sz w:val="21"/>
          <w:szCs w:val="21"/>
        </w:rPr>
        <w:t>Step1选准圈层</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利用数据选择好，正确的起点，为后续头号标签沟通制造更高的效率。</w:t>
      </w:r>
    </w:p>
    <w:p w:rsidR="00E716FE" w:rsidRDefault="00B97392" w:rsidP="00C718EC">
      <w:pPr>
        <w:spacing w:before="100" w:beforeAutospacing="1" w:after="100" w:afterAutospacing="1"/>
        <w:textAlignment w:val="baseline"/>
        <w:rPr>
          <w:rFonts w:ascii="微软雅黑" w:eastAsia="微软雅黑" w:hAnsi="微软雅黑" w:hint="eastAsia"/>
          <w:bCs/>
          <w:sz w:val="21"/>
          <w:szCs w:val="21"/>
        </w:rPr>
      </w:pPr>
      <w:r>
        <w:rPr>
          <w:rFonts w:ascii="微软雅黑" w:eastAsia="微软雅黑" w:hAnsi="微软雅黑" w:hint="eastAsia"/>
          <w:bCs/>
          <w:sz w:val="21"/>
          <w:szCs w:val="21"/>
        </w:rPr>
        <w:t>奔驰成交用户（第三方平台卓思）与微博活跃用户匹配出真实车主用户池， 再根据NGCC家族圈定的新生代目标用户属性精准筛选出可供此次营销分析的种子用户池。</w:t>
      </w:r>
    </w:p>
    <w:p w:rsidR="00D63F8C" w:rsidRPr="00E716FE" w:rsidRDefault="00B97392" w:rsidP="00C718EC">
      <w:pPr>
        <w:spacing w:before="100" w:beforeAutospacing="1" w:after="100" w:afterAutospacing="1"/>
        <w:textAlignment w:val="baseline"/>
        <w:rPr>
          <w:rFonts w:ascii="微软雅黑" w:eastAsia="微软雅黑" w:hAnsi="微软雅黑"/>
          <w:b/>
          <w:bCs/>
          <w:sz w:val="21"/>
          <w:szCs w:val="21"/>
        </w:rPr>
      </w:pPr>
      <w:r w:rsidRPr="00E716FE">
        <w:rPr>
          <w:rFonts w:ascii="微软雅黑" w:eastAsia="微软雅黑" w:hAnsi="微软雅黑" w:hint="eastAsia"/>
          <w:b/>
          <w:bCs/>
          <w:sz w:val="21"/>
          <w:szCs w:val="21"/>
        </w:rPr>
        <w:t>Step2高效撩粉</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用数据洞察，头号领地标签与年轻圈层用户沟通，差异的策略。</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1）逐级定向挖掘5个兴趣圈层的高关联词条，通过比重高的词条数据来特别选定【圈层大V】和【兴趣场景】是能让品牌与圈层粉丝情感连接度高的触点。</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2）帮助奔驰选择出与圈层内粉丝连接效率高的大V人选，并继续挖掘出大V的粉丝有头号精神的高频热议词，辅助我们给定制出能激发头号领地标签共感的具象沟通场景。</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-挖掘不同圈层粉丝对NGCC车型差异化的关注点，将专业产品点常规化展示变成绝对个性化的沟通来激发购车欲望。</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-利用数据精准分析到的圈层粉丝兴趣沟通点+用车偏好点进行融合，通过做一场派对直播的方式让粉丝跨屏沉浸感受奔驰头号领地的新标签。</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-在新车上市时，强热点资源全面释放头号领地直播预告 增加精准产品触达核心电竞圈层，增加产品拦截新增街舞圈层，最大化号召兴趣用户们一起与奔驰掀起新生浪潮。</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lastRenderedPageBreak/>
        <w:t>3）培养铁粉</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超级粉丝通精确的培育街舞圈层铁粉资产</w:t>
      </w:r>
      <w:r w:rsidR="00E716FE">
        <w:rPr>
          <w:rFonts w:ascii="微软雅黑" w:eastAsia="微软雅黑" w:hAnsi="微软雅黑" w:hint="eastAsia"/>
          <w:bCs/>
          <w:sz w:val="21"/>
          <w:szCs w:val="21"/>
        </w:rPr>
        <w:t>。</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通过多轮的数据资产匹配，利用热点数据帮助奔驰化身圈内人实时感知街舞粉丝的兴趣嗨点并挖掘出具像化的热词。再与奔驰NGCC车型价值点进行交叉，动态优化出具备社交兴趣又撩动粉丝好感的素材内容。</w:t>
      </w:r>
    </w:p>
    <w:p w:rsidR="00D63F8C" w:rsidRDefault="00B97392" w:rsidP="00C718EC">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Cs/>
          <w:sz w:val="21"/>
          <w:szCs w:val="21"/>
        </w:rPr>
        <w:t>跟踪已沉淀街舞老粉丝的社交行为轨迹流去挖掘新粉丝，利用微博的开放式社交生态，可以实现超粉人群包的精准裂变扩</w:t>
      </w:r>
    </w:p>
    <w:p w:rsidR="00D63F8C" w:rsidRDefault="00B97392" w:rsidP="00C718EC">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rsidR="00D63F8C" w:rsidRPr="00E716FE" w:rsidRDefault="00B97392" w:rsidP="00C718EC">
      <w:pPr>
        <w:spacing w:before="100" w:beforeAutospacing="1" w:after="100" w:afterAutospacing="1"/>
        <w:rPr>
          <w:rFonts w:ascii="微软雅黑" w:eastAsia="微软雅黑" w:hAnsi="微软雅黑"/>
          <w:color w:val="000000" w:themeColor="text1"/>
          <w:sz w:val="21"/>
          <w:szCs w:val="21"/>
        </w:rPr>
      </w:pPr>
      <w:r w:rsidRPr="00E716FE">
        <w:rPr>
          <w:rFonts w:ascii="微软雅黑" w:eastAsia="微软雅黑" w:hAnsi="微软雅黑" w:hint="eastAsia"/>
          <w:color w:val="000000" w:themeColor="text1"/>
          <w:sz w:val="21"/>
          <w:szCs w:val="21"/>
        </w:rPr>
        <w:t>奔驰品牌的年轻化分区资产的到了有效提升，品牌资产得到了有效扩容。</w:t>
      </w:r>
    </w:p>
    <w:p w:rsidR="00D63F8C" w:rsidRPr="00E716FE" w:rsidRDefault="00B97392" w:rsidP="00C718EC">
      <w:pPr>
        <w:spacing w:before="100" w:beforeAutospacing="1" w:after="100" w:afterAutospacing="1"/>
        <w:rPr>
          <w:rFonts w:ascii="微软雅黑" w:eastAsia="微软雅黑" w:hAnsi="微软雅黑"/>
          <w:color w:val="000000" w:themeColor="text1"/>
          <w:sz w:val="21"/>
          <w:szCs w:val="21"/>
        </w:rPr>
      </w:pPr>
      <w:r w:rsidRPr="00E716FE">
        <w:rPr>
          <w:rFonts w:ascii="微软雅黑" w:eastAsia="微软雅黑" w:hAnsi="微软雅黑" w:hint="eastAsia"/>
          <w:color w:val="000000" w:themeColor="text1"/>
          <w:sz w:val="21"/>
          <w:szCs w:val="21"/>
        </w:rPr>
        <w:t>1）铁粉培养效果明显，除此之外，从各阶段粉丝池的流转数据可明确看到，经过精准培养的街舞圈层粉丝留存率比重呈明显上升趋势，表现出较高的忠诚度。</w:t>
      </w:r>
    </w:p>
    <w:p w:rsidR="00D63F8C" w:rsidRDefault="00B97392" w:rsidP="00C718EC">
      <w:pPr>
        <w:spacing w:before="100" w:beforeAutospacing="1" w:after="100" w:afterAutospacing="1"/>
        <w:rPr>
          <w:rFonts w:ascii="微软雅黑" w:eastAsia="微软雅黑" w:hAnsi="微软雅黑"/>
          <w:color w:val="000000" w:themeColor="text1"/>
          <w:sz w:val="20"/>
        </w:rPr>
      </w:pPr>
      <w:r>
        <w:rPr>
          <w:noProof/>
        </w:rPr>
        <w:drawing>
          <wp:inline distT="0" distB="0" distL="114300" distR="114300">
            <wp:extent cx="5713730" cy="3069590"/>
            <wp:effectExtent l="0" t="0" r="127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13730" cy="3069590"/>
                    </a:xfrm>
                    <a:prstGeom prst="rect">
                      <a:avLst/>
                    </a:prstGeom>
                    <a:noFill/>
                    <a:ln>
                      <a:noFill/>
                    </a:ln>
                  </pic:spPr>
                </pic:pic>
              </a:graphicData>
            </a:graphic>
          </wp:inline>
        </w:drawing>
      </w:r>
    </w:p>
    <w:p w:rsidR="00D63F8C" w:rsidRPr="00E716FE" w:rsidRDefault="00B97392" w:rsidP="00C718EC">
      <w:pPr>
        <w:numPr>
          <w:ilvl w:val="0"/>
          <w:numId w:val="4"/>
        </w:numPr>
        <w:spacing w:before="100" w:beforeAutospacing="1" w:after="100" w:afterAutospacing="1"/>
        <w:rPr>
          <w:rFonts w:ascii="微软雅黑" w:eastAsia="微软雅黑" w:hAnsi="微软雅黑"/>
          <w:color w:val="000000" w:themeColor="text1"/>
          <w:sz w:val="21"/>
          <w:szCs w:val="21"/>
        </w:rPr>
      </w:pPr>
      <w:r w:rsidRPr="00E716FE">
        <w:rPr>
          <w:rFonts w:ascii="微软雅黑" w:eastAsia="微软雅黑" w:hAnsi="微软雅黑" w:hint="eastAsia"/>
          <w:color w:val="000000" w:themeColor="text1"/>
          <w:sz w:val="21"/>
          <w:szCs w:val="21"/>
        </w:rPr>
        <w:t>对应看各阶段粉丝池的品牌印象词云数据，头号领地标签热词始终占比较高，跟宝马M热血标签迅速退减的趋势形成了鲜明对比，奔驰更加成功的塑造了高识别度的头号领地标签。</w:t>
      </w:r>
    </w:p>
    <w:p w:rsidR="00D63F8C" w:rsidRDefault="00B97392" w:rsidP="00C718EC">
      <w:pPr>
        <w:spacing w:before="100" w:beforeAutospacing="1" w:after="100" w:afterAutospacing="1"/>
        <w:rPr>
          <w:rFonts w:ascii="微软雅黑" w:eastAsia="微软雅黑" w:hAnsi="微软雅黑"/>
          <w:color w:val="000000" w:themeColor="text1"/>
          <w:sz w:val="20"/>
        </w:rPr>
      </w:pPr>
      <w:r>
        <w:rPr>
          <w:noProof/>
        </w:rPr>
        <w:lastRenderedPageBreak/>
        <w:drawing>
          <wp:inline distT="0" distB="0" distL="114300" distR="114300">
            <wp:extent cx="5713730" cy="2836545"/>
            <wp:effectExtent l="0" t="0" r="127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713730" cy="2836545"/>
                    </a:xfrm>
                    <a:prstGeom prst="rect">
                      <a:avLst/>
                    </a:prstGeom>
                    <a:noFill/>
                    <a:ln>
                      <a:noFill/>
                    </a:ln>
                  </pic:spPr>
                </pic:pic>
              </a:graphicData>
            </a:graphic>
          </wp:inline>
        </w:drawing>
      </w:r>
    </w:p>
    <w:p w:rsidR="00D63F8C" w:rsidRDefault="00B97392" w:rsidP="00C718EC">
      <w:pPr>
        <w:pStyle w:val="af1"/>
        <w:numPr>
          <w:ilvl w:val="0"/>
          <w:numId w:val="4"/>
        </w:numPr>
        <w:spacing w:before="100" w:beforeAutospacing="1" w:after="100" w:afterAutospacing="1"/>
        <w:ind w:firstLineChars="0" w:firstLine="0"/>
        <w:rPr>
          <w:rFonts w:ascii="微软雅黑" w:eastAsia="微软雅黑" w:hAnsi="微软雅黑"/>
          <w:color w:val="000000" w:themeColor="text1"/>
          <w:szCs w:val="21"/>
        </w:rPr>
      </w:pPr>
      <w:r>
        <w:rPr>
          <w:rFonts w:ascii="微软雅黑" w:eastAsia="微软雅黑" w:hAnsi="微软雅黑" w:hint="eastAsia"/>
          <w:color w:val="000000" w:themeColor="text1"/>
          <w:szCs w:val="21"/>
        </w:rPr>
        <w:t>奔驰年轻分区资产得到增长。</w:t>
      </w:r>
    </w:p>
    <w:p w:rsidR="00D63F8C" w:rsidRDefault="00B97392" w:rsidP="00C718EC">
      <w:pPr>
        <w:pStyle w:val="af1"/>
        <w:spacing w:before="100" w:beforeAutospacing="1" w:after="100" w:afterAutospacing="1"/>
        <w:ind w:firstLineChars="0" w:firstLine="0"/>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5247005" cy="2875915"/>
            <wp:effectExtent l="0" t="0" r="1079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47005" cy="2875915"/>
                    </a:xfrm>
                    <a:prstGeom prst="rect">
                      <a:avLst/>
                    </a:prstGeom>
                    <a:noFill/>
                    <a:ln>
                      <a:noFill/>
                    </a:ln>
                  </pic:spPr>
                </pic:pic>
              </a:graphicData>
            </a:graphic>
          </wp:inline>
        </w:drawing>
      </w:r>
    </w:p>
    <w:p w:rsidR="00D63F8C" w:rsidRDefault="00B97392" w:rsidP="00C718EC">
      <w:pPr>
        <w:pStyle w:val="af1"/>
        <w:spacing w:before="100" w:beforeAutospacing="1" w:after="100" w:afterAutospacing="1"/>
        <w:ind w:firstLineChars="0" w:firstLine="0"/>
        <w:jc w:val="right"/>
        <w:rPr>
          <w:rFonts w:ascii="微软雅黑" w:eastAsia="微软雅黑" w:hAnsi="微软雅黑" w:cs="微软雅黑"/>
        </w:rPr>
      </w:pPr>
      <w:r>
        <w:rPr>
          <w:rFonts w:ascii="微软雅黑" w:eastAsia="微软雅黑" w:hAnsi="微软雅黑" w:cs="微软雅黑" w:hint="eastAsia"/>
        </w:rPr>
        <w:t>注：因客户隐私部分数据隐藏处理。</w:t>
      </w:r>
    </w:p>
    <w:sectPr w:rsidR="00D63F8C">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182" w:rsidRDefault="00A76182">
      <w:r>
        <w:separator/>
      </w:r>
    </w:p>
  </w:endnote>
  <w:endnote w:type="continuationSeparator" w:id="0">
    <w:p w:rsidR="00A76182" w:rsidRDefault="00A76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F8C" w:rsidRDefault="00B97392">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rsidR="00D63F8C" w:rsidRDefault="00D63F8C">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F8C" w:rsidRDefault="00D63F8C">
    <w:pPr>
      <w:pStyle w:val="a7"/>
      <w:framePr w:wrap="around" w:vAnchor="text" w:hAnchor="margin" w:xAlign="right" w:y="1"/>
      <w:rPr>
        <w:rStyle w:val="ae"/>
      </w:rPr>
    </w:pPr>
  </w:p>
  <w:p w:rsidR="00D63F8C" w:rsidRDefault="00D63F8C">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F8C" w:rsidRDefault="00D63F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182" w:rsidRDefault="00A76182">
      <w:r>
        <w:separator/>
      </w:r>
    </w:p>
  </w:footnote>
  <w:footnote w:type="continuationSeparator" w:id="0">
    <w:p w:rsidR="00A76182" w:rsidRDefault="00A76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F8C" w:rsidRDefault="00D63F8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F8C" w:rsidRDefault="00B97392">
    <w:pPr>
      <w:pStyle w:val="a8"/>
      <w:jc w:val="both"/>
      <w:rPr>
        <w:rFonts w:ascii="微软雅黑" w:eastAsia="微软雅黑" w:hAnsi="微软雅黑"/>
        <w:color w:val="333333"/>
        <w:sz w:val="21"/>
      </w:rPr>
    </w:pPr>
    <w:r>
      <w:rPr>
        <w:b/>
        <w:noProof/>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F8C" w:rsidRDefault="00D63F8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F99D2"/>
    <w:multiLevelType w:val="singleLevel"/>
    <w:tmpl w:val="324F99D2"/>
    <w:lvl w:ilvl="0">
      <w:start w:val="2"/>
      <w:numFmt w:val="decimal"/>
      <w:suff w:val="nothing"/>
      <w:lvlText w:val="%1）"/>
      <w:lvlJc w:val="left"/>
    </w:lvl>
  </w:abstractNum>
  <w:abstractNum w:abstractNumId="1"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76182"/>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97392"/>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18EC"/>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3F8C"/>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16FE"/>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24F22E63"/>
    <w:rsid w:val="4740707E"/>
    <w:rsid w:val="4F644C17"/>
    <w:rsid w:val="6E81529A"/>
    <w:rsid w:val="6F012CAA"/>
    <w:rsid w:val="76C90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6A9CC1"/>
  <w15:docId w15:val="{EE7F34F6-F3C1-9C45-8411-EFF3242A4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rPr>
      <w:rFonts w:ascii="Arial" w:hAnsi="Arial" w:cs="Times New Roman"/>
      <w:sz w:val="18"/>
      <w:szCs w:val="20"/>
    </w:rPr>
  </w:style>
  <w:style w:type="paragraph" w:styleId="a5">
    <w:name w:val="Balloon Text"/>
    <w:basedOn w:val="a"/>
    <w:link w:val="a6"/>
    <w:uiPriority w:val="99"/>
    <w:semiHidden/>
    <w:unhideWhenUsed/>
    <w:rPr>
      <w:sz w:val="18"/>
      <w:szCs w:val="18"/>
    </w:rPr>
  </w:style>
  <w:style w:type="paragraph" w:styleId="a7">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style>
  <w:style w:type="character" w:styleId="af">
    <w:name w:val="Emphasis"/>
    <w:basedOn w:val="a0"/>
    <w:qFormat/>
    <w:rPr>
      <w:i/>
    </w:rPr>
  </w:style>
  <w:style w:type="character" w:styleId="af0">
    <w:name w:val="Hyperlink"/>
    <w:basedOn w:val="a0"/>
    <w:rPr>
      <w:color w:val="0000FF"/>
      <w:u w:val="single"/>
    </w:rPr>
  </w:style>
  <w:style w:type="character" w:customStyle="1" w:styleId="ab">
    <w:name w:val="标题 字符"/>
    <w:basedOn w:val="a0"/>
    <w:link w:val="aa"/>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2">
    <w:name w:val="清單段落"/>
    <w:basedOn w:val="a"/>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B52AED-724C-9248-B9F6-D114B1960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224</Words>
  <Characters>1278</Characters>
  <Application>Microsoft Office Word</Application>
  <DocSecurity>0</DocSecurity>
  <Lines>10</Lines>
  <Paragraphs>2</Paragraphs>
  <ScaleCrop>false</ScaleCrop>
  <Company>WWW.YlmF.CoM</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2021-01-28T10:27:00Z</dcterms:created>
  <dcterms:modified xsi:type="dcterms:W3CDTF">2021-01-28T10:27:00Z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