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海蓝之谜“鎏金3D呈现，质感跨屏尽显”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海蓝之谜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美妆个护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2022.11-</w:t>
      </w:r>
      <w:r>
        <w:rPr>
          <w:rFonts w:hint="eastAsia" w:ascii="微软雅黑" w:hAnsi="微软雅黑" w:eastAsia="微软雅黑"/>
          <w:sz w:val="21"/>
          <w:szCs w:val="21"/>
        </w:rPr>
        <w:t>2022.12.19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OTT营销类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LAMER海蓝之谜品牌下的“鎏金焕颜系列”是其最高端品线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对于传播媒介的呈现质感要求极高，同时对于高端女性用户的需求明确，因此需要能够精准定向能力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有效为品牌触达真正具有消费力的高端女性人群，提升品牌好感度和购买意向。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目标一：大小屏双屏呈现惊艳视效，通过高质感画面强化品牌奢美品质，并有效引流电商。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目标二：海蓝之谜认知度及认可度都很高，精准捕捉头部高消女性对于提效转化更为关键。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LAMER海蓝之谜旗下高端品线-鎏金焕颜系列的高奢质感与功效是其核心优势，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优酷利用独家数据能力及创新OTT产品，帮助海蓝之谜构建“鎏金3D呈现，质感跨屏尽显”策略，通过OTT UMAX+投屏摇一摇产品组合，在呈现惊艳裸眼3D视效的同时，精准定向目标客群，有效引流电商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与</w:t>
      </w:r>
      <w:r>
        <w:rPr>
          <w:rFonts w:hint="eastAsia" w:ascii="微软雅黑" w:hAnsi="微软雅黑" w:eastAsia="微软雅黑"/>
          <w:sz w:val="21"/>
          <w:szCs w:val="21"/>
        </w:rPr>
        <w:t>此同时，通过投放为品牌沉淀数据资产，优化未来投放策略，助力海蓝之谜长效运营。</w:t>
      </w:r>
    </w:p>
    <w:p>
      <w:pPr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524375" cy="3393440"/>
            <wp:effectExtent l="0" t="0" r="9525" b="16510"/>
            <wp:docPr id="4" name="图片 4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封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【鎏金质感 跨屏呈现】UMAX+投屏摇一摇组合投放，质感品效双收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OTT UMAX：首创裸眼3D效果+实时渲染技术展现，呈现海蓝之谜鎏金焕颜产品惊艳质感。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OTT 投屏摇一摇：双屏曝光惊艳视觉，创意互动直链电商转化。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【精准人群 定向触达】高价值女性人群掐尖，进一步提升转化效率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通过阿里大数据标签，定向美妆高消人群，实现目标客群的精准触达，从而进一步提升后续转化效率，提升费效比。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【数据回流 长效运营】利用优酷独家数据回流能力助力品牌长效运营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创新拉通淘系后链路数据，对投放期内触达的用户特征及购买行为进行可视化数据分析，同时将数据回流海蓝之谜品牌数据银行，助力二次投放及品牌的长效运营。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视频:</w:t>
      </w:r>
    </w:p>
    <w:p>
      <w:pPr>
        <w:rPr>
          <w:rStyle w:val="18"/>
          <w:rFonts w:hint="eastAsia"/>
          <w:lang w:val="en-US" w:eastAsia="zh-CN"/>
        </w:rPr>
      </w:pPr>
      <w:r>
        <w:rPr>
          <w:rStyle w:val="18"/>
          <w:rFonts w:hint="eastAsia"/>
          <w:lang w:val="en-US" w:eastAsia="zh-CN"/>
        </w:rPr>
        <w:fldChar w:fldCharType="begin"/>
      </w:r>
      <w:r>
        <w:rPr>
          <w:rStyle w:val="18"/>
          <w:rFonts w:hint="eastAsia"/>
          <w:lang w:val="en-US" w:eastAsia="zh-CN"/>
        </w:rPr>
        <w:instrText xml:space="preserve"> HYPERLINK "https://v.youku.com/v_show/id_XNTkzNDc3MzI4MA==.html" </w:instrText>
      </w:r>
      <w:r>
        <w:rPr>
          <w:rStyle w:val="18"/>
          <w:rFonts w:hint="eastAsia"/>
          <w:lang w:val="en-US" w:eastAsia="zh-CN"/>
        </w:rPr>
        <w:fldChar w:fldCharType="separate"/>
      </w:r>
      <w:r>
        <w:rPr>
          <w:rStyle w:val="18"/>
          <w:rFonts w:hint="eastAsia"/>
          <w:lang w:val="en-US" w:eastAsia="zh-CN"/>
        </w:rPr>
        <w:t>https://v.youku.com/v_show/id_XNTkzNDc3MzI4MA==.html</w:t>
      </w:r>
      <w:r>
        <w:rPr>
          <w:rStyle w:val="18"/>
          <w:rFonts w:hint="eastAsia"/>
          <w:lang w:val="en-US" w:eastAsia="zh-CN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instrText xml:space="preserve"> HYPERLINK "https://v.youku.com/v_show/id_XNTkzNDc3NDU5Ng==.html" </w:instrTex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  <w:lang w:val="en-US" w:eastAsia="zh-CN"/>
        </w:rPr>
        <w:t>https://v.youku.com/v_show/id_XNTkzNDc3NDU5Ng==.html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UMAX，首创裸眼3D效果+实时渲染技术展现，呈现海蓝之谜鎏金焕颜产品惊艳质感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UMAX是优酷OTT APK层开机产品，首创裸眼3D技术，为鎏金晚霜带来惊艳效果呈现。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677535" cy="3177540"/>
            <wp:effectExtent l="0" t="0" r="12065" b="1016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08650" cy="3200400"/>
            <wp:effectExtent l="0" t="0" r="635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投屏摇一摇，双屏曝光惊艳视觉，创意互动直链电商转化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大屏：硬件层场景15s/30s视频。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小屏：常驻banner升级裸眼3D视觉，摇一摇直接跳转电商产品页面。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644515" cy="3154680"/>
            <wp:effectExtent l="0" t="0" r="6985" b="762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通过优酷独家数据能力及OTT创新产品组合，在呈现惊艳裸眼3D视效的同时，精准定向目标客群，有效引流电商；于此同时，通过投放为品牌沉淀数据资产，优化未来投放策略，助力海蓝之谜长效运营。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1.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高浓度触达TA：</w:t>
      </w:r>
      <w:r>
        <w:rPr>
          <w:rFonts w:hint="eastAsia" w:ascii="微软雅黑" w:hAnsi="微软雅黑" w:eastAsia="微软雅黑"/>
          <w:sz w:val="21"/>
          <w:szCs w:val="21"/>
        </w:rPr>
        <w:t>资深白领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 TGI 255+</w:t>
      </w:r>
      <w:r>
        <w:rPr>
          <w:rFonts w:hint="eastAsia" w:ascii="微软雅黑" w:hAnsi="微软雅黑" w:eastAsia="微软雅黑"/>
          <w:sz w:val="21"/>
          <w:szCs w:val="21"/>
        </w:rPr>
        <w:t>；90天消费1w+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TGI 230+</w:t>
      </w:r>
      <w:r>
        <w:rPr>
          <w:rFonts w:hint="eastAsia" w:ascii="微软雅黑" w:hAnsi="微软雅黑" w:eastAsia="微软雅黑"/>
          <w:sz w:val="21"/>
          <w:szCs w:val="21"/>
        </w:rPr>
        <w:t>；L5 TGI 270+。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2.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高效拉升转化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新客占比超89%</w:t>
      </w:r>
      <w:r>
        <w:rPr>
          <w:rFonts w:hint="eastAsia" w:ascii="微软雅黑" w:hAnsi="微软雅黑" w:eastAsia="微软雅黑"/>
          <w:sz w:val="21"/>
          <w:szCs w:val="21"/>
        </w:rPr>
        <w:t>，电商进站成本＜0.3，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整体ROI＞10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5D43E1"/>
    <w:rsid w:val="0A381D6E"/>
    <w:rsid w:val="32283E3F"/>
    <w:rsid w:val="5808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984</Words>
  <Characters>1199</Characters>
  <Lines>7</Lines>
  <Paragraphs>2</Paragraphs>
  <TotalTime>3</TotalTime>
  <ScaleCrop>false</ScaleCrop>
  <LinksUpToDate>false</LinksUpToDate>
  <CharactersWithSpaces>1217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2023-03-02T03:31:37Z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2B7713598995411EB4961A6E9B00E077</vt:lpwstr>
  </property>
</Properties>
</file>