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ascii="微软雅黑" w:hAnsi="微软雅黑" w:eastAsia="微软雅黑"/>
          <w:b/>
          <w:kern w:val="0"/>
          <w:sz w:val="32"/>
          <w:szCs w:val="32"/>
        </w:rPr>
      </w:pPr>
      <w:r>
        <w:rPr>
          <w:rFonts w:hint="eastAsia" w:ascii="微软雅黑" w:hAnsi="微软雅黑" w:eastAsia="微软雅黑"/>
          <w:b/>
          <w:kern w:val="0"/>
          <w:sz w:val="32"/>
          <w:szCs w:val="32"/>
        </w:rPr>
        <w:t>利多码</w:t>
      </w:r>
    </w:p>
    <w:p>
      <w:pPr>
        <w:textAlignment w:val="baseline"/>
        <w:rPr>
          <w:rFonts w:ascii="微软雅黑" w:hAnsi="微软雅黑" w:eastAsia="微软雅黑"/>
          <w:b/>
        </w:rPr>
      </w:pPr>
      <w:r>
        <w:rPr>
          <w:rFonts w:hint="eastAsia" w:ascii="微软雅黑" w:hAnsi="微软雅黑" w:eastAsia="微软雅黑"/>
          <w:b/>
        </w:rPr>
        <w:t>官方网址</w:t>
      </w:r>
      <w:r>
        <w:rPr>
          <w:rFonts w:hint="eastAsia" w:ascii="微软雅黑" w:hAnsi="微软雅黑" w:eastAsia="微软雅黑"/>
        </w:rPr>
        <w:t>：</w:t>
      </w:r>
      <w:r>
        <w:rPr>
          <w:rFonts w:hint="eastAsia" w:ascii="微软雅黑" w:hAnsi="微软雅黑" w:eastAsia="微软雅黑"/>
        </w:rPr>
        <w:fldChar w:fldCharType="begin"/>
      </w:r>
      <w:r>
        <w:rPr>
          <w:rFonts w:hint="eastAsia" w:ascii="微软雅黑" w:hAnsi="微软雅黑" w:eastAsia="微软雅黑"/>
        </w:rPr>
        <w:instrText xml:space="preserve"> HYPERLINK "http://www.liduoma.com" </w:instrText>
      </w:r>
      <w:r>
        <w:rPr>
          <w:rFonts w:hint="eastAsia" w:ascii="微软雅黑" w:hAnsi="微软雅黑" w:eastAsia="微软雅黑"/>
        </w:rPr>
        <w:fldChar w:fldCharType="separate"/>
      </w:r>
      <w:r>
        <w:rPr>
          <w:rStyle w:val="16"/>
          <w:rFonts w:hint="eastAsia" w:ascii="微软雅黑" w:hAnsi="微软雅黑" w:eastAsia="微软雅黑"/>
        </w:rPr>
        <w:t>www.liduoma.com</w:t>
      </w:r>
      <w:r>
        <w:rPr>
          <w:rFonts w:hint="eastAsia" w:ascii="微软雅黑" w:hAnsi="微软雅黑" w:eastAsia="微软雅黑"/>
        </w:rPr>
        <w:fldChar w:fldCharType="end"/>
      </w:r>
    </w:p>
    <w:p>
      <w:pPr>
        <w:jc w:val="both"/>
        <w:rPr>
          <w:rFonts w:hint="eastAsia" w:ascii="微软雅黑" w:hAnsi="微软雅黑" w:eastAsia="微软雅黑"/>
        </w:rPr>
      </w:pPr>
      <w:r>
        <w:rPr>
          <w:rFonts w:hint="eastAsia" w:ascii="微软雅黑" w:hAnsi="微软雅黑" w:eastAsia="微软雅黑"/>
          <w:b/>
        </w:rPr>
        <w:t>参选类别：</w:t>
      </w:r>
      <w:r>
        <w:rPr>
          <w:rFonts w:hint="eastAsia" w:ascii="微软雅黑" w:hAnsi="微软雅黑" w:eastAsia="微软雅黑"/>
        </w:rPr>
        <w:t>年度数字营销影响力技术公司</w:t>
      </w:r>
    </w:p>
    <w:p>
      <w:pPr>
        <w:spacing w:before="100" w:beforeAutospacing="1" w:after="100" w:afterAutospacing="1"/>
        <w:rPr>
          <w:rFonts w:ascii="微软雅黑" w:hAnsi="微软雅黑" w:eastAsia="微软雅黑"/>
          <w:b/>
          <w:color w:val="0000FF"/>
          <w:sz w:val="28"/>
          <w:szCs w:val="24"/>
        </w:rPr>
      </w:pPr>
      <w:r>
        <w:rPr>
          <w:rFonts w:hint="eastAsia" w:ascii="微软雅黑" w:hAnsi="微软雅黑" w:eastAsia="微软雅黑" w:cs="宋体"/>
          <w:b/>
          <w:color w:val="C79E5B"/>
          <w:kern w:val="0"/>
          <w:sz w:val="28"/>
          <w:szCs w:val="24"/>
        </w:rPr>
        <w:t>公司简介及核心优势</w:t>
      </w:r>
      <w:bookmarkStart w:id="0" w:name="_GoBack"/>
      <w:bookmarkEnd w:id="0"/>
    </w:p>
    <w:p>
      <w:pPr>
        <w:spacing w:before="100" w:beforeAutospacing="1" w:after="100" w:afterAutospacing="1" w:line="240" w:lineRule="auto"/>
        <w:textAlignment w:val="baseline"/>
        <w:rPr>
          <w:rFonts w:hint="default" w:ascii="微软雅黑" w:hAnsi="微软雅黑" w:eastAsia="微软雅黑"/>
          <w:lang w:val="en-US" w:eastAsia="zh-CN"/>
        </w:rPr>
      </w:pPr>
      <w:r>
        <w:rPr>
          <w:rFonts w:hint="eastAsia" w:ascii="微软雅黑" w:hAnsi="微软雅黑" w:eastAsia="微软雅黑"/>
        </w:rPr>
        <w:t>立返利（北京）信息技术有限公司公司成立于2015年</w:t>
      </w:r>
      <w:r>
        <w:rPr>
          <w:rFonts w:hint="eastAsia" w:ascii="微软雅黑" w:hAnsi="微软雅黑" w:eastAsia="微软雅黑"/>
          <w:lang w:eastAsia="zh-CN"/>
        </w:rPr>
        <w:t>，</w:t>
      </w:r>
      <w:r>
        <w:rPr>
          <w:rFonts w:hint="eastAsia" w:ascii="微软雅黑" w:hAnsi="微软雅黑" w:eastAsia="微软雅黑"/>
        </w:rPr>
        <w:t>是目前国内最早从事数智化营销技术研发与运营服务的科技公司之一。</w:t>
      </w:r>
      <w:r>
        <w:rPr>
          <w:rFonts w:hint="eastAsia" w:ascii="微软雅黑" w:hAnsi="微软雅黑" w:eastAsia="微软雅黑"/>
          <w:lang w:val="en-US" w:eastAsia="zh-CN"/>
        </w:rPr>
        <w:t>技术团队占公司整体规模的60%，皆是拥有5-15年技术或产品经验的专业研发。近3年营收平均增长率超60%（2022年尚未统计好）。</w:t>
      </w:r>
    </w:p>
    <w:p>
      <w:pPr>
        <w:spacing w:before="100" w:beforeAutospacing="1" w:after="100" w:afterAutospacing="1" w:line="240" w:lineRule="auto"/>
        <w:textAlignment w:val="baseline"/>
        <w:rPr>
          <w:rFonts w:hint="eastAsia" w:ascii="微软雅黑" w:hAnsi="微软雅黑" w:eastAsia="微软雅黑"/>
          <w:lang w:eastAsia="zh-CN"/>
        </w:rPr>
      </w:pPr>
      <w:r>
        <w:rPr>
          <w:rFonts w:hint="eastAsia" w:ascii="微软雅黑" w:hAnsi="微软雅黑" w:eastAsia="微软雅黑"/>
          <w:lang w:val="en-US" w:eastAsia="zh-CN"/>
        </w:rPr>
        <w:t>立返利核心产品</w:t>
      </w:r>
      <w:r>
        <w:rPr>
          <w:rFonts w:hint="eastAsia" w:ascii="微软雅黑" w:hAnsi="微软雅黑" w:eastAsia="微软雅黑"/>
        </w:rPr>
        <w:t>iLDM利多码</w:t>
      </w:r>
      <w:r>
        <w:rPr>
          <w:rFonts w:hint="eastAsia" w:ascii="微软雅黑" w:hAnsi="微软雅黑" w:eastAsia="微软雅黑"/>
          <w:lang w:val="en-US" w:eastAsia="zh-CN"/>
        </w:rPr>
        <w:t>是综合性的</w:t>
      </w:r>
      <w:r>
        <w:rPr>
          <w:rFonts w:hint="eastAsia" w:ascii="微软雅黑" w:hAnsi="微软雅黑" w:eastAsia="微软雅黑"/>
        </w:rPr>
        <w:t>数智化营销科技及运营</w:t>
      </w:r>
      <w:r>
        <w:rPr>
          <w:rFonts w:hint="eastAsia" w:ascii="微软雅黑" w:hAnsi="微软雅黑" w:eastAsia="微软雅黑"/>
          <w:lang w:val="en-US" w:eastAsia="zh-CN"/>
        </w:rPr>
        <w:t>服务平台</w:t>
      </w:r>
      <w:r>
        <w:rPr>
          <w:rFonts w:hint="eastAsia" w:ascii="微软雅黑" w:hAnsi="微软雅黑" w:eastAsia="微软雅黑"/>
          <w:lang w:eastAsia="zh-CN"/>
        </w:rPr>
        <w:t>。</w:t>
      </w:r>
      <w:r>
        <w:rPr>
          <w:rFonts w:hint="eastAsia" w:ascii="微软雅黑" w:hAnsi="微软雅黑" w:eastAsia="微软雅黑"/>
          <w:lang w:val="en-US" w:eastAsia="zh-CN"/>
        </w:rPr>
        <w:t>聚焦消费品行业，</w:t>
      </w:r>
      <w:r>
        <w:rPr>
          <w:rFonts w:hint="eastAsia" w:ascii="微软雅黑" w:hAnsi="微软雅黑" w:eastAsia="微软雅黑"/>
        </w:rPr>
        <w:t>围绕企业营销需求，iLDM利多码</w:t>
      </w:r>
      <w:r>
        <w:rPr>
          <w:rFonts w:hint="eastAsia" w:ascii="微软雅黑" w:hAnsi="微软雅黑" w:eastAsia="微软雅黑"/>
          <w:lang w:val="en-US" w:eastAsia="zh-CN"/>
        </w:rPr>
        <w:t>平台</w:t>
      </w:r>
      <w:r>
        <w:rPr>
          <w:rFonts w:hint="eastAsia" w:ascii="微软雅黑" w:hAnsi="微软雅黑" w:eastAsia="微软雅黑"/>
        </w:rPr>
        <w:t>打造了“6大产品”“8大行业”“1+n深度运营”的数智化产品、服务矩阵。以前瞻的数字化技术为驱动，以智慧的场景应用为抓手，以全栈的营销策略为基准服务，帮助品牌方高效动销、防伪溯源、数字渠道建设、用户管理、私域运营、流量变现、数据分析，有效收集每件产品的流通信息，分析每个消费者的消费行为，构建全链路营销闭环，助力企业实现厂家、渠道、货品及终端消费者的互联互通互利。</w:t>
      </w:r>
    </w:p>
    <w:p>
      <w:pPr>
        <w:spacing w:before="100" w:beforeAutospacing="1" w:after="100" w:afterAutospacing="1" w:line="240" w:lineRule="auto"/>
        <w:textAlignment w:val="baseline"/>
        <w:rPr>
          <w:rFonts w:hint="eastAsia" w:ascii="微软雅黑" w:hAnsi="微软雅黑" w:eastAsia="微软雅黑"/>
          <w:lang w:val="en-US" w:eastAsia="zh-CN"/>
        </w:rPr>
      </w:pPr>
      <w:r>
        <w:rPr>
          <w:rFonts w:hint="eastAsia" w:ascii="微软雅黑" w:hAnsi="微软雅黑" w:eastAsia="微软雅黑"/>
          <w:lang w:val="en-US" w:eastAsia="zh-CN"/>
        </w:rPr>
        <w:t>与同赛道友商相比，立返利的数智化营销产品以高标准化、深行业know how及营销玩法+技术功能双向赋能的优势，服务了大、中、小等数万家企业。为更多传统消费品企业进行数字化转型，提供了更高效和可复制、易实施落地的解决方案。</w:t>
      </w:r>
    </w:p>
    <w:p>
      <w:pPr>
        <w:spacing w:before="100" w:beforeAutospacing="1" w:after="100" w:afterAutospacing="1" w:line="240" w:lineRule="auto"/>
        <w:textAlignment w:val="baseline"/>
        <w:rPr>
          <w:rFonts w:ascii="微软雅黑" w:hAnsi="微软雅黑" w:eastAsia="微软雅黑"/>
          <w:bCs/>
        </w:rPr>
      </w:pPr>
      <w:r>
        <w:rPr>
          <w:rFonts w:hint="eastAsia" w:ascii="微软雅黑" w:hAnsi="微软雅黑" w:eastAsia="微软雅黑"/>
          <w:lang w:val="en-US" w:eastAsia="zh-CN"/>
        </w:rPr>
        <w:t>成立7年间，立返利</w:t>
      </w:r>
      <w:r>
        <w:rPr>
          <w:rFonts w:hint="default" w:ascii="微软雅黑" w:hAnsi="微软雅黑" w:eastAsia="微软雅黑"/>
          <w:lang w:val="en-US" w:eastAsia="zh-CN"/>
        </w:rPr>
        <w:t>以“</w:t>
      </w:r>
      <w:r>
        <w:rPr>
          <w:rFonts w:hint="eastAsia" w:ascii="微软雅黑" w:hAnsi="微软雅黑" w:eastAsia="微软雅黑"/>
          <w:lang w:val="en-US" w:eastAsia="zh-CN"/>
        </w:rPr>
        <w:t>构建企业级万物互联增长引擎</w:t>
      </w:r>
      <w:r>
        <w:rPr>
          <w:rFonts w:hint="default" w:ascii="微软雅黑" w:hAnsi="微软雅黑" w:eastAsia="微软雅黑"/>
          <w:lang w:val="en-US" w:eastAsia="zh-CN"/>
        </w:rPr>
        <w:t>”为使命，秉持“</w:t>
      </w:r>
      <w:r>
        <w:rPr>
          <w:rFonts w:hint="eastAsia" w:ascii="微软雅黑" w:hAnsi="微软雅黑" w:eastAsia="微软雅黑"/>
          <w:lang w:val="en-US" w:eastAsia="zh-CN"/>
        </w:rPr>
        <w:t>成为DT时代企业数字增长核动力</w:t>
      </w:r>
      <w:r>
        <w:rPr>
          <w:rFonts w:hint="default" w:ascii="微软雅黑" w:hAnsi="微软雅黑" w:eastAsia="微软雅黑"/>
          <w:lang w:val="en-US" w:eastAsia="zh-CN"/>
        </w:rPr>
        <w:t>”的愿景</w:t>
      </w:r>
      <w:r>
        <w:rPr>
          <w:rFonts w:hint="eastAsia" w:ascii="微软雅黑" w:hAnsi="微软雅黑" w:eastAsia="微软雅黑"/>
          <w:lang w:val="en-US" w:eastAsia="zh-CN"/>
        </w:rPr>
        <w:t>深耕建材、酒水、食品、农资、汽配等传统消费行业。</w:t>
      </w:r>
      <w:r>
        <w:rPr>
          <w:rFonts w:hint="default" w:ascii="微软雅黑" w:hAnsi="微软雅黑" w:eastAsia="微软雅黑"/>
          <w:lang w:val="en-US" w:eastAsia="zh-CN"/>
        </w:rPr>
        <w:t>服务了包含蒙牛、正大食品、海天酱油、钓鱼台、牛栏山、雪花、雨虹防水、</w:t>
      </w:r>
      <w:r>
        <w:rPr>
          <w:rFonts w:hint="eastAsia" w:ascii="微软雅黑" w:hAnsi="微软雅黑" w:eastAsia="微软雅黑"/>
          <w:lang w:val="en-US" w:eastAsia="zh-CN"/>
        </w:rPr>
        <w:t>科顺、紫荆花、</w:t>
      </w:r>
      <w:r>
        <w:rPr>
          <w:rFonts w:hint="default" w:ascii="微软雅黑" w:hAnsi="微软雅黑" w:eastAsia="微软雅黑"/>
          <w:lang w:val="en-US" w:eastAsia="zh-CN"/>
        </w:rPr>
        <w:t>中国石油、</w:t>
      </w:r>
      <w:r>
        <w:rPr>
          <w:rFonts w:hint="eastAsia" w:ascii="微软雅黑" w:hAnsi="微软雅黑" w:eastAsia="微软雅黑"/>
          <w:lang w:val="en-US" w:eastAsia="zh-CN"/>
        </w:rPr>
        <w:t>美孚、云图控股</w:t>
      </w:r>
      <w:r>
        <w:rPr>
          <w:rFonts w:hint="default" w:ascii="微软雅黑" w:hAnsi="微软雅黑" w:eastAsia="微软雅黑"/>
          <w:lang w:val="en-US" w:eastAsia="zh-CN"/>
        </w:rPr>
        <w:t>等知名品牌在内的10万+</w:t>
      </w:r>
      <w:r>
        <w:rPr>
          <w:rFonts w:hint="eastAsia" w:ascii="微软雅黑" w:hAnsi="微软雅黑" w:eastAsia="微软雅黑"/>
          <w:lang w:val="en-US" w:eastAsia="zh-CN"/>
        </w:rPr>
        <w:t>注册</w:t>
      </w:r>
      <w:r>
        <w:rPr>
          <w:rFonts w:hint="default" w:ascii="微软雅黑" w:hAnsi="微软雅黑" w:eastAsia="微软雅黑"/>
          <w:lang w:val="en-US" w:eastAsia="zh-CN"/>
        </w:rPr>
        <w:t>企业。</w:t>
      </w:r>
    </w:p>
    <w:p>
      <w:pPr>
        <w:spacing w:before="100" w:beforeAutospacing="1" w:after="100" w:afterAutospacing="1"/>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数字营销领域突出成绩</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default" w:ascii="微软雅黑" w:hAnsi="微软雅黑" w:eastAsia="微软雅黑"/>
          <w:b/>
          <w:bCs/>
          <w:sz w:val="21"/>
          <w:szCs w:val="21"/>
          <w:lang w:val="en-US" w:eastAsia="zh-CN"/>
        </w:rPr>
      </w:pPr>
      <w:r>
        <w:rPr>
          <w:rFonts w:hint="eastAsia" w:ascii="微软雅黑" w:hAnsi="微软雅黑" w:eastAsia="微软雅黑"/>
          <w:b/>
          <w:bCs/>
          <w:sz w:val="21"/>
          <w:szCs w:val="21"/>
          <w:lang w:val="en-US" w:eastAsia="zh-CN"/>
        </w:rPr>
        <w:t>一、提出更适用传统消费品企业营销转型的数智化营销3.0模型</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2022年，立返利基于数万客户服务经验，总结了更具行业适用性和复制性的数智营销模型。</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val="en-US" w:eastAsia="zh-CN"/>
        </w:rPr>
      </w:pPr>
      <w:r>
        <w:rPr>
          <w:sz w:val="21"/>
          <w:szCs w:val="21"/>
        </w:rPr>
        <w:drawing>
          <wp:inline distT="0" distB="0" distL="114300" distR="114300">
            <wp:extent cx="5823585" cy="3651250"/>
            <wp:effectExtent l="0" t="0" r="1333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823585" cy="3651250"/>
                    </a:xfrm>
                    <a:prstGeom prst="rect">
                      <a:avLst/>
                    </a:prstGeom>
                  </pic:spPr>
                </pic:pic>
              </a:graphicData>
            </a:graphic>
          </wp:inline>
        </w:drawing>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2022年，</w:t>
      </w:r>
      <w:r>
        <w:rPr>
          <w:rFonts w:hint="eastAsia" w:ascii="微软雅黑" w:hAnsi="微软雅黑" w:eastAsia="微软雅黑"/>
          <w:sz w:val="21"/>
          <w:szCs w:val="21"/>
          <w:lang w:eastAsia="zh-Hans"/>
        </w:rPr>
        <w:t>平台</w:t>
      </w:r>
      <w:r>
        <w:rPr>
          <w:rFonts w:hint="eastAsia" w:ascii="微软雅黑" w:hAnsi="微软雅黑" w:eastAsia="微软雅黑"/>
          <w:sz w:val="21"/>
          <w:szCs w:val="21"/>
          <w:lang w:val="en-US" w:eastAsia="zh-CN"/>
        </w:rPr>
        <w:t>升级了</w:t>
      </w:r>
      <w:r>
        <w:rPr>
          <w:rFonts w:hint="eastAsia" w:ascii="微软雅黑" w:hAnsi="微软雅黑" w:eastAsia="微软雅黑"/>
          <w:sz w:val="21"/>
          <w:szCs w:val="21"/>
        </w:rPr>
        <w:t>AI算法、智能外呼、</w:t>
      </w:r>
      <w:r>
        <w:rPr>
          <w:rFonts w:hint="eastAsia" w:ascii="微软雅黑" w:hAnsi="微软雅黑" w:eastAsia="微软雅黑"/>
          <w:sz w:val="21"/>
          <w:szCs w:val="21"/>
          <w:lang w:eastAsia="zh-Hans"/>
        </w:rPr>
        <w:t>数据分析、区块链、</w:t>
      </w:r>
      <w:r>
        <w:rPr>
          <w:rFonts w:hint="eastAsia" w:ascii="微软雅黑" w:hAnsi="微软雅黑" w:eastAsia="微软雅黑"/>
          <w:sz w:val="21"/>
          <w:szCs w:val="21"/>
          <w:lang w:val="en-US" w:eastAsia="zh-CN"/>
        </w:rPr>
        <w:t>MarTech营销</w:t>
      </w:r>
      <w:r>
        <w:rPr>
          <w:rFonts w:hint="eastAsia" w:ascii="微软雅黑" w:hAnsi="微软雅黑" w:eastAsia="微软雅黑"/>
          <w:sz w:val="21"/>
          <w:szCs w:val="21"/>
        </w:rPr>
        <w:t>Saas</w:t>
      </w:r>
      <w:r>
        <w:rPr>
          <w:rFonts w:hint="eastAsia" w:ascii="微软雅黑" w:hAnsi="微软雅黑" w:eastAsia="微软雅黑"/>
          <w:sz w:val="21"/>
          <w:szCs w:val="21"/>
          <w:lang w:val="en-US" w:eastAsia="zh-CN"/>
        </w:rPr>
        <w:t>类</w:t>
      </w:r>
      <w:r>
        <w:rPr>
          <w:rFonts w:hint="eastAsia" w:ascii="微软雅黑" w:hAnsi="微软雅黑" w:eastAsia="微软雅黑"/>
          <w:sz w:val="21"/>
          <w:szCs w:val="21"/>
          <w:lang w:eastAsia="zh-Hans"/>
        </w:rPr>
        <w:t>技术</w:t>
      </w:r>
      <w:r>
        <w:rPr>
          <w:rFonts w:hint="eastAsia" w:ascii="微软雅黑" w:hAnsi="微软雅黑" w:eastAsia="微软雅黑"/>
          <w:sz w:val="21"/>
          <w:szCs w:val="21"/>
          <w:lang w:val="en-US" w:eastAsia="zh-CN"/>
        </w:rPr>
        <w:t>能力，</w:t>
      </w:r>
      <w:r>
        <w:rPr>
          <w:rFonts w:hint="eastAsia" w:ascii="微软雅黑" w:hAnsi="微软雅黑" w:eastAsia="微软雅黑"/>
          <w:sz w:val="21"/>
          <w:szCs w:val="21"/>
          <w:lang w:eastAsia="zh-Hans"/>
        </w:rPr>
        <w:t>融合一物一码、互动营销、</w:t>
      </w:r>
      <w:r>
        <w:rPr>
          <w:rFonts w:hint="eastAsia" w:ascii="微软雅黑" w:hAnsi="微软雅黑" w:eastAsia="微软雅黑"/>
          <w:sz w:val="21"/>
          <w:szCs w:val="21"/>
          <w:lang w:val="en-US" w:eastAsia="zh-CN"/>
        </w:rPr>
        <w:t>信息安全</w:t>
      </w:r>
      <w:r>
        <w:rPr>
          <w:rFonts w:hint="eastAsia" w:ascii="微软雅黑" w:hAnsi="微软雅黑" w:eastAsia="微软雅黑"/>
          <w:sz w:val="21"/>
          <w:szCs w:val="21"/>
          <w:lang w:eastAsia="zh-Hans"/>
        </w:rPr>
        <w:t>、私域运营、数据</w:t>
      </w:r>
      <w:r>
        <w:rPr>
          <w:rFonts w:hint="eastAsia" w:ascii="微软雅黑" w:hAnsi="微软雅黑" w:eastAsia="微软雅黑"/>
          <w:sz w:val="21"/>
          <w:szCs w:val="21"/>
          <w:lang w:val="en-US" w:eastAsia="zh-CN"/>
        </w:rPr>
        <w:t>分析</w:t>
      </w:r>
      <w:r>
        <w:rPr>
          <w:rFonts w:hint="eastAsia" w:ascii="微软雅黑" w:hAnsi="微软雅黑" w:eastAsia="微软雅黑"/>
          <w:sz w:val="21"/>
          <w:szCs w:val="21"/>
          <w:lang w:eastAsia="zh-Hans"/>
        </w:rPr>
        <w:t>、渠道数字化管理等</w:t>
      </w:r>
      <w:r>
        <w:rPr>
          <w:rFonts w:hint="eastAsia" w:ascii="微软雅黑" w:hAnsi="微软雅黑" w:eastAsia="微软雅黑"/>
          <w:sz w:val="21"/>
          <w:szCs w:val="21"/>
          <w:lang w:val="en-US" w:eastAsia="zh-CN"/>
        </w:rPr>
        <w:t>产品模块</w:t>
      </w:r>
      <w:r>
        <w:rPr>
          <w:rFonts w:hint="eastAsia" w:ascii="微软雅黑" w:hAnsi="微软雅黑" w:eastAsia="微软雅黑"/>
          <w:sz w:val="21"/>
          <w:szCs w:val="21"/>
          <w:lang w:eastAsia="zh-Hans"/>
        </w:rPr>
        <w:t>，</w:t>
      </w:r>
      <w:r>
        <w:rPr>
          <w:rFonts w:hint="eastAsia" w:ascii="微软雅黑" w:hAnsi="微软雅黑" w:eastAsia="微软雅黑"/>
          <w:sz w:val="21"/>
          <w:szCs w:val="21"/>
          <w:lang w:val="en-US" w:eastAsia="zh-CN"/>
        </w:rPr>
        <w:t>以“</w:t>
      </w:r>
      <w:r>
        <w:rPr>
          <w:rFonts w:hint="eastAsia" w:ascii="微软雅黑" w:hAnsi="微软雅黑" w:eastAsia="微软雅黑"/>
          <w:sz w:val="21"/>
          <w:szCs w:val="21"/>
          <w:lang w:eastAsia="zh-Hans"/>
        </w:rPr>
        <w:t>打穿</w:t>
      </w:r>
      <w:r>
        <w:rPr>
          <w:rFonts w:hint="eastAsia" w:ascii="微软雅黑" w:hAnsi="微软雅黑" w:eastAsia="微软雅黑"/>
          <w:sz w:val="21"/>
          <w:szCs w:val="21"/>
        </w:rPr>
        <w:t>DTC通路</w:t>
      </w:r>
      <w:r>
        <w:rPr>
          <w:rFonts w:hint="eastAsia" w:ascii="微软雅黑" w:hAnsi="微软雅黑" w:eastAsia="微软雅黑"/>
          <w:sz w:val="21"/>
          <w:szCs w:val="21"/>
          <w:lang w:eastAsia="zh-CN"/>
        </w:rPr>
        <w:t>”</w:t>
      </w:r>
      <w:r>
        <w:rPr>
          <w:rFonts w:hint="eastAsia" w:ascii="微软雅黑" w:hAnsi="微软雅黑" w:eastAsia="微软雅黑"/>
          <w:sz w:val="21"/>
          <w:szCs w:val="21"/>
          <w:lang w:val="en-US" w:eastAsia="zh-CN"/>
        </w:rPr>
        <w:t>为核心营销理念</w:t>
      </w:r>
      <w:r>
        <w:rPr>
          <w:rFonts w:hint="eastAsia" w:ascii="微软雅黑" w:hAnsi="微软雅黑" w:eastAsia="微软雅黑"/>
          <w:sz w:val="21"/>
          <w:szCs w:val="21"/>
        </w:rPr>
        <w:t>，助力品牌方营销活动效果。</w:t>
      </w:r>
      <w:r>
        <w:rPr>
          <w:rFonts w:hint="eastAsia" w:ascii="微软雅黑" w:hAnsi="微软雅黑" w:eastAsia="微软雅黑"/>
          <w:sz w:val="21"/>
          <w:szCs w:val="21"/>
          <w:lang w:val="en-US" w:eastAsia="zh-CN"/>
        </w:rPr>
        <w:t>近一年间，发码量超30亿，与数千万消费者产生了互动营销联系。</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val="en-US" w:eastAsia="zh-CN"/>
        </w:rPr>
        <w:t>以建材行业服务情况为例，2022年，利多码作为建材众多头部厂商合作多年的厂商，引领了近千家传统建材企业</w:t>
      </w:r>
      <w:r>
        <w:rPr>
          <w:rFonts w:hint="eastAsia" w:ascii="微软雅黑" w:hAnsi="微软雅黑" w:eastAsia="微软雅黑"/>
          <w:sz w:val="21"/>
          <w:szCs w:val="21"/>
          <w:lang w:eastAsia="zh-Hans"/>
        </w:rPr>
        <w:t>从基础的一物一码</w:t>
      </w:r>
      <w:r>
        <w:rPr>
          <w:rFonts w:hint="eastAsia" w:ascii="微软雅黑" w:hAnsi="微软雅黑" w:eastAsia="微软雅黑"/>
          <w:sz w:val="21"/>
          <w:szCs w:val="21"/>
          <w:lang w:val="en-US" w:eastAsia="zh-CN"/>
        </w:rPr>
        <w:t>核心消费决策用户激励（小工返利）、</w:t>
      </w:r>
      <w:r>
        <w:rPr>
          <w:rFonts w:hint="eastAsia" w:ascii="微软雅黑" w:hAnsi="微软雅黑" w:eastAsia="微软雅黑"/>
          <w:sz w:val="21"/>
          <w:szCs w:val="21"/>
          <w:lang w:eastAsia="zh-Hans"/>
        </w:rPr>
        <w:t>数据收集</w:t>
      </w:r>
      <w:r>
        <w:rPr>
          <w:rFonts w:hint="eastAsia" w:ascii="微软雅黑" w:hAnsi="微软雅黑" w:eastAsia="微软雅黑"/>
          <w:sz w:val="21"/>
          <w:szCs w:val="21"/>
          <w:lang w:eastAsia="zh-CN"/>
        </w:rPr>
        <w:t>、</w:t>
      </w:r>
      <w:r>
        <w:rPr>
          <w:rFonts w:hint="eastAsia" w:ascii="微软雅黑" w:hAnsi="微软雅黑" w:eastAsia="微软雅黑"/>
          <w:sz w:val="21"/>
          <w:szCs w:val="21"/>
          <w:lang w:val="en-US" w:eastAsia="zh-CN"/>
        </w:rPr>
        <w:t>公众号吸粉、积分商城留存</w:t>
      </w:r>
      <w:r>
        <w:rPr>
          <w:rFonts w:hint="eastAsia" w:ascii="微软雅黑" w:hAnsi="微软雅黑" w:eastAsia="微软雅黑"/>
          <w:sz w:val="21"/>
          <w:szCs w:val="21"/>
          <w:lang w:eastAsia="zh-Hans"/>
        </w:rPr>
        <w:t>到企微私域、会员</w:t>
      </w:r>
      <w:r>
        <w:rPr>
          <w:rFonts w:hint="eastAsia" w:ascii="微软雅黑" w:hAnsi="微软雅黑" w:eastAsia="微软雅黑"/>
          <w:sz w:val="21"/>
          <w:szCs w:val="21"/>
          <w:lang w:val="en-US" w:eastAsia="zh-CN"/>
        </w:rPr>
        <w:t>体系玩法</w:t>
      </w:r>
      <w:r>
        <w:rPr>
          <w:rFonts w:hint="eastAsia" w:ascii="微软雅黑" w:hAnsi="微软雅黑" w:eastAsia="微软雅黑"/>
          <w:sz w:val="21"/>
          <w:szCs w:val="21"/>
          <w:lang w:eastAsia="zh-Hans"/>
        </w:rPr>
        <w:t>，三个阶段循序渐进</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eastAsia="zh-Hans"/>
        </w:rPr>
      </w:pPr>
      <w:r>
        <w:rPr>
          <w:rFonts w:hint="eastAsia" w:ascii="微软雅黑" w:hAnsi="微软雅黑" w:eastAsia="微软雅黑"/>
          <w:sz w:val="21"/>
          <w:szCs w:val="21"/>
          <w:lang w:val="en-US" w:eastAsia="zh-CN"/>
        </w:rPr>
        <w:t>立返利打造了建材行业的数字化时代营销模型，</w:t>
      </w:r>
      <w:r>
        <w:rPr>
          <w:rFonts w:hint="eastAsia" w:ascii="微软雅黑" w:hAnsi="微软雅黑" w:eastAsia="微软雅黑"/>
          <w:sz w:val="21"/>
          <w:szCs w:val="21"/>
          <w:lang w:eastAsia="zh-Hans"/>
        </w:rPr>
        <w:t>推动建材行业</w:t>
      </w:r>
      <w:r>
        <w:rPr>
          <w:rFonts w:hint="eastAsia" w:ascii="微软雅黑" w:hAnsi="微软雅黑" w:eastAsia="微软雅黑"/>
          <w:sz w:val="21"/>
          <w:szCs w:val="21"/>
          <w:lang w:val="en-US" w:eastAsia="zh-CN"/>
        </w:rPr>
        <w:t>从纯传统线下营销</w:t>
      </w:r>
      <w:r>
        <w:rPr>
          <w:rFonts w:hint="eastAsia" w:ascii="微软雅黑" w:hAnsi="微软雅黑" w:eastAsia="微软雅黑"/>
          <w:sz w:val="21"/>
          <w:szCs w:val="21"/>
          <w:lang w:eastAsia="zh-Hans"/>
        </w:rPr>
        <w:t>迈入</w:t>
      </w:r>
      <w:r>
        <w:rPr>
          <w:rFonts w:hint="eastAsia" w:ascii="微软雅黑" w:hAnsi="微软雅黑" w:eastAsia="微软雅黑"/>
          <w:sz w:val="21"/>
          <w:szCs w:val="21"/>
          <w:lang w:val="en-US" w:eastAsia="zh-CN"/>
        </w:rPr>
        <w:t>数智</w:t>
      </w:r>
      <w:r>
        <w:rPr>
          <w:rFonts w:hint="eastAsia" w:ascii="微软雅黑" w:hAnsi="微软雅黑" w:eastAsia="微软雅黑"/>
          <w:sz w:val="21"/>
          <w:szCs w:val="21"/>
          <w:lang w:eastAsia="zh-Hans"/>
        </w:rPr>
        <w:t>营销3.0时代。智能高效解决建材企业市场占有率难以提升的痛点，以</w:t>
      </w:r>
      <w:r>
        <w:rPr>
          <w:rFonts w:hint="eastAsia" w:ascii="微软雅黑" w:hAnsi="微软雅黑" w:eastAsia="微软雅黑"/>
          <w:sz w:val="21"/>
          <w:szCs w:val="21"/>
          <w:lang w:val="en-US" w:eastAsia="zh-CN"/>
        </w:rPr>
        <w:t>数据技术能力与深度运营服务</w:t>
      </w:r>
      <w:r>
        <w:rPr>
          <w:rFonts w:hint="eastAsia" w:ascii="微软雅黑" w:hAnsi="微软雅黑" w:eastAsia="微软雅黑"/>
          <w:sz w:val="21"/>
          <w:szCs w:val="21"/>
          <w:lang w:eastAsia="zh-Hans"/>
        </w:rPr>
        <w:t>促销量增长。</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eastAsia="zh-Hans"/>
        </w:rPr>
      </w:pPr>
      <w:r>
        <w:rPr>
          <w:sz w:val="21"/>
          <w:szCs w:val="21"/>
        </w:rPr>
        <w:drawing>
          <wp:inline distT="0" distB="0" distL="114300" distR="114300">
            <wp:extent cx="5713730" cy="3878580"/>
            <wp:effectExtent l="0" t="0" r="127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13730" cy="38785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与其它快消品、大消费品产品不同，建材企业的核心用户群聚焦在更有持久复购、推荐权的小工、工长、设计师等核心C端消费决策群体。如何“拉新”、“留存”、持续挖掘这批核心用户的价值？</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Hans"/>
        </w:rPr>
      </w:pPr>
      <w:r>
        <w:rPr>
          <w:rFonts w:hint="eastAsia" w:ascii="微软雅黑" w:hAnsi="微软雅黑" w:eastAsia="微软雅黑"/>
          <w:sz w:val="21"/>
          <w:szCs w:val="21"/>
          <w:lang w:val="en-US" w:eastAsia="zh-Hans"/>
        </w:rPr>
        <w:t>利多码依托IMS互动营销、PCO</w:t>
      </w:r>
      <w:r>
        <w:rPr>
          <w:rFonts w:hint="eastAsia" w:ascii="微软雅黑" w:hAnsi="微软雅黑" w:eastAsia="微软雅黑"/>
          <w:sz w:val="21"/>
          <w:szCs w:val="21"/>
          <w:lang w:val="en-US" w:eastAsia="zh-CN"/>
        </w:rPr>
        <w:t>私域用户运营、BI数据分析</w:t>
      </w:r>
      <w:r>
        <w:rPr>
          <w:rFonts w:hint="eastAsia" w:ascii="微软雅黑" w:hAnsi="微软雅黑" w:eastAsia="微软雅黑"/>
          <w:sz w:val="21"/>
          <w:szCs w:val="21"/>
          <w:lang w:val="en-US" w:eastAsia="zh-Hans"/>
        </w:rPr>
        <w:t>等平台，为建材行业持续提供</w:t>
      </w:r>
      <w:r>
        <w:rPr>
          <w:rFonts w:hint="eastAsia" w:ascii="微软雅黑" w:hAnsi="微软雅黑" w:eastAsia="微软雅黑"/>
          <w:sz w:val="21"/>
          <w:szCs w:val="21"/>
          <w:lang w:val="en-US" w:eastAsia="zh-CN"/>
        </w:rPr>
        <w:t>数智化营销增长</w:t>
      </w:r>
      <w:r>
        <w:rPr>
          <w:rFonts w:hint="eastAsia" w:ascii="微软雅黑" w:hAnsi="微软雅黑" w:eastAsia="微软雅黑"/>
          <w:sz w:val="21"/>
          <w:szCs w:val="21"/>
          <w:lang w:val="en-US" w:eastAsia="zh-Hans"/>
        </w:rPr>
        <w:t>解决方案</w:t>
      </w:r>
      <w:r>
        <w:rPr>
          <w:rFonts w:hint="eastAsia" w:ascii="微软雅黑" w:hAnsi="微软雅黑" w:eastAsia="微软雅黑"/>
          <w:sz w:val="21"/>
          <w:szCs w:val="21"/>
          <w:lang w:val="en-US" w:eastAsia="zh-CN"/>
        </w:rPr>
        <w:t>，打造RIPM建材一站式服务方案：</w:t>
      </w:r>
      <w:r>
        <w:rPr>
          <w:rFonts w:hint="eastAsia" w:ascii="微软雅黑" w:hAnsi="微软雅黑" w:eastAsia="微软雅黑"/>
          <w:sz w:val="21"/>
          <w:szCs w:val="21"/>
          <w:lang w:val="en-US" w:eastAsia="zh-Hans"/>
        </w:rPr>
        <w:t>小工返利（Rebate for small workers）、积分商城（Integral Mall）、私域引流（Private drainage）、会员体系（Member system）</w:t>
      </w:r>
      <w:r>
        <w:rPr>
          <w:rFonts w:hint="eastAsia" w:ascii="微软雅黑" w:hAnsi="微软雅黑" w:eastAsia="微软雅黑"/>
          <w:sz w:val="21"/>
          <w:szCs w:val="21"/>
          <w:lang w:val="en-US" w:eastAsia="zh-CN"/>
        </w:rPr>
        <w:t>。</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Hans"/>
        </w:rPr>
      </w:pPr>
      <w:r>
        <w:rPr>
          <w:rFonts w:hint="eastAsia" w:ascii="微软雅黑" w:hAnsi="微软雅黑" w:eastAsia="微软雅黑"/>
          <w:sz w:val="21"/>
          <w:szCs w:val="21"/>
          <w:lang w:val="en-US" w:eastAsia="zh-CN"/>
        </w:rPr>
        <w:t>从1.0开始，iLDM利多码目前已引领了家用</w:t>
      </w:r>
      <w:r>
        <w:rPr>
          <w:rFonts w:hint="eastAsia" w:ascii="微软雅黑" w:hAnsi="微软雅黑" w:eastAsia="微软雅黑"/>
          <w:sz w:val="21"/>
          <w:szCs w:val="21"/>
          <w:lang w:val="en-US" w:eastAsia="zh-Hans"/>
        </w:rPr>
        <w:t>涂料</w:t>
      </w:r>
      <w:r>
        <w:rPr>
          <w:rFonts w:hint="eastAsia" w:ascii="微软雅黑" w:hAnsi="微软雅黑" w:eastAsia="微软雅黑"/>
          <w:sz w:val="21"/>
          <w:szCs w:val="21"/>
          <w:lang w:val="en-US" w:eastAsia="zh-CN"/>
        </w:rPr>
        <w:t>、辅材、管材</w:t>
      </w:r>
      <w:r>
        <w:rPr>
          <w:rFonts w:hint="eastAsia" w:ascii="微软雅黑" w:hAnsi="微软雅黑" w:eastAsia="微软雅黑"/>
          <w:sz w:val="21"/>
          <w:szCs w:val="21"/>
          <w:lang w:val="en-US" w:eastAsia="zh-Hans"/>
        </w:rPr>
        <w:t>与粘结剂</w:t>
      </w:r>
      <w:r>
        <w:rPr>
          <w:rFonts w:hint="eastAsia" w:ascii="微软雅黑" w:hAnsi="微软雅黑" w:eastAsia="微软雅黑"/>
          <w:sz w:val="21"/>
          <w:szCs w:val="21"/>
          <w:lang w:val="en-US" w:eastAsia="zh-CN"/>
        </w:rPr>
        <w:t>类众多头部和区域性名牌进入了数智化营销3.0时代</w:t>
      </w:r>
      <w:r>
        <w:rPr>
          <w:rFonts w:hint="eastAsia" w:ascii="微软雅黑" w:hAnsi="微软雅黑" w:eastAsia="微软雅黑"/>
          <w:sz w:val="21"/>
          <w:szCs w:val="21"/>
          <w:lang w:val="en-US" w:eastAsia="zh-Hans"/>
        </w:rPr>
        <w:t>。</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Hans"/>
        </w:rPr>
      </w:pPr>
      <w:r>
        <w:rPr>
          <w:rFonts w:hint="eastAsia" w:ascii="微软雅黑" w:hAnsi="微软雅黑" w:eastAsia="微软雅黑"/>
          <w:sz w:val="21"/>
          <w:szCs w:val="21"/>
          <w:lang w:val="en-US" w:eastAsia="zh-Hans"/>
        </w:rPr>
        <w:t>会员体系+小工返利，改变行业玩法，扩散效应显著</w:t>
      </w:r>
      <w:r>
        <w:rPr>
          <w:rFonts w:hint="eastAsia" w:ascii="微软雅黑" w:hAnsi="微软雅黑" w:eastAsia="微软雅黑"/>
          <w:sz w:val="21"/>
          <w:szCs w:val="21"/>
          <w:lang w:val="en-US" w:eastAsia="zh-CN"/>
        </w:rPr>
        <w:t>；</w:t>
      </w:r>
      <w:r>
        <w:rPr>
          <w:rFonts w:hint="eastAsia" w:ascii="微软雅黑" w:hAnsi="微软雅黑" w:eastAsia="微软雅黑"/>
          <w:sz w:val="21"/>
          <w:szCs w:val="21"/>
          <w:lang w:val="en-US" w:eastAsia="zh-Hans"/>
        </w:rPr>
        <w:t>助力区域企业拓展域外市场，市占率提升，扩大品牌影响力</w:t>
      </w:r>
      <w:r>
        <w:rPr>
          <w:rFonts w:hint="eastAsia" w:ascii="微软雅黑" w:hAnsi="微软雅黑" w:eastAsia="微软雅黑"/>
          <w:sz w:val="21"/>
          <w:szCs w:val="21"/>
          <w:lang w:val="en-US" w:eastAsia="zh-CN"/>
        </w:rPr>
        <w:t>；</w:t>
      </w:r>
      <w:r>
        <w:rPr>
          <w:rFonts w:hint="eastAsia" w:ascii="微软雅黑" w:hAnsi="微软雅黑" w:eastAsia="微软雅黑"/>
          <w:sz w:val="21"/>
          <w:szCs w:val="21"/>
          <w:lang w:val="en-US" w:eastAsia="zh-Hans"/>
        </w:rPr>
        <w:t>头部品牌私域运营，打通企微、公众号、社群、小程序</w:t>
      </w:r>
      <w:r>
        <w:rPr>
          <w:rFonts w:hint="eastAsia" w:ascii="微软雅黑" w:hAnsi="微软雅黑" w:eastAsia="微软雅黑"/>
          <w:sz w:val="21"/>
          <w:szCs w:val="21"/>
          <w:lang w:val="en-US" w:eastAsia="zh-CN"/>
        </w:rPr>
        <w:t>”</w:t>
      </w:r>
      <w:r>
        <w:rPr>
          <w:rFonts w:hint="eastAsia" w:ascii="微软雅黑" w:hAnsi="微软雅黑" w:eastAsia="微软雅黑"/>
          <w:sz w:val="21"/>
          <w:szCs w:val="21"/>
          <w:lang w:val="en-US" w:eastAsia="zh-Hans"/>
        </w:rPr>
        <w:t>4W体系</w:t>
      </w:r>
      <w:r>
        <w:rPr>
          <w:rFonts w:hint="eastAsia" w:ascii="微软雅黑" w:hAnsi="微软雅黑" w:eastAsia="微软雅黑"/>
          <w:sz w:val="21"/>
          <w:szCs w:val="21"/>
          <w:lang w:val="en-US" w:eastAsia="zh-CN"/>
        </w:rPr>
        <w:t>“</w:t>
      </w:r>
      <w:r>
        <w:rPr>
          <w:rFonts w:hint="eastAsia" w:ascii="微软雅黑" w:hAnsi="微软雅黑" w:eastAsia="微软雅黑"/>
          <w:sz w:val="21"/>
          <w:szCs w:val="21"/>
          <w:lang w:val="en-US" w:eastAsia="zh-Hans"/>
        </w:rPr>
        <w:t>生态链路，促进增粉</w:t>
      </w:r>
      <w:r>
        <w:rPr>
          <w:rFonts w:hint="eastAsia" w:ascii="微软雅黑" w:hAnsi="微软雅黑" w:eastAsia="微软雅黑"/>
          <w:sz w:val="21"/>
          <w:szCs w:val="21"/>
          <w:lang w:val="en-US" w:eastAsia="zh-CN"/>
        </w:rPr>
        <w:t>、</w:t>
      </w:r>
      <w:r>
        <w:rPr>
          <w:rFonts w:hint="eastAsia" w:ascii="微软雅黑" w:hAnsi="微软雅黑" w:eastAsia="微软雅黑"/>
          <w:sz w:val="21"/>
          <w:szCs w:val="21"/>
          <w:lang w:val="en-US" w:eastAsia="zh-Hans"/>
        </w:rPr>
        <w:t>引流</w:t>
      </w:r>
      <w:r>
        <w:rPr>
          <w:rFonts w:hint="eastAsia" w:ascii="微软雅黑" w:hAnsi="微软雅黑" w:eastAsia="微软雅黑"/>
          <w:sz w:val="21"/>
          <w:szCs w:val="21"/>
          <w:lang w:val="en-US" w:eastAsia="zh-CN"/>
        </w:rPr>
        <w:t>及复购</w:t>
      </w:r>
      <w:r>
        <w:rPr>
          <w:rFonts w:hint="eastAsia" w:ascii="微软雅黑" w:hAnsi="微软雅黑" w:eastAsia="微软雅黑"/>
          <w:sz w:val="21"/>
          <w:szCs w:val="21"/>
          <w:lang w:val="en-US" w:eastAsia="zh-Hans"/>
        </w:rPr>
        <w:t>转化，</w:t>
      </w:r>
      <w:r>
        <w:rPr>
          <w:rFonts w:hint="eastAsia" w:ascii="微软雅黑" w:hAnsi="微软雅黑" w:eastAsia="微软雅黑"/>
          <w:sz w:val="21"/>
          <w:szCs w:val="21"/>
          <w:lang w:val="en-US" w:eastAsia="zh-CN"/>
        </w:rPr>
        <w:t>提高企业利润率。</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行业营销案例：胖子腻子</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Hans"/>
        </w:rPr>
      </w:pPr>
      <w:r>
        <w:rPr>
          <w:rFonts w:hint="eastAsia" w:ascii="微软雅黑" w:hAnsi="微软雅黑" w:eastAsia="微软雅黑"/>
          <w:sz w:val="21"/>
          <w:szCs w:val="21"/>
          <w:lang w:val="en-US" w:eastAsia="zh-Hans"/>
        </w:rPr>
        <w:t>胖子腻子</w:t>
      </w:r>
      <w:r>
        <w:rPr>
          <w:rFonts w:hint="eastAsia" w:ascii="微软雅黑" w:hAnsi="微软雅黑" w:eastAsia="微软雅黑"/>
          <w:sz w:val="21"/>
          <w:szCs w:val="21"/>
          <w:lang w:val="en-US" w:eastAsia="zh-CN"/>
        </w:rPr>
        <w:t>是河南知名的腻子、粘结剂等系列产品的生产企业</w:t>
      </w:r>
      <w:r>
        <w:rPr>
          <w:rFonts w:hint="eastAsia" w:ascii="微软雅黑" w:hAnsi="微软雅黑" w:eastAsia="微软雅黑"/>
          <w:sz w:val="21"/>
          <w:szCs w:val="21"/>
          <w:lang w:val="en-US" w:eastAsia="zh-Hans"/>
        </w:rPr>
        <w:t>。在与利多码的持续合作中，</w:t>
      </w:r>
      <w:r>
        <w:rPr>
          <w:rFonts w:hint="eastAsia" w:ascii="微软雅黑" w:hAnsi="微软雅黑" w:eastAsia="微软雅黑"/>
          <w:sz w:val="21"/>
          <w:szCs w:val="21"/>
          <w:lang w:val="en-US" w:eastAsia="zh-CN"/>
        </w:rPr>
        <w:t>围绕“</w:t>
      </w:r>
      <w:r>
        <w:rPr>
          <w:rFonts w:hint="eastAsia" w:ascii="微软雅黑" w:hAnsi="微软雅黑" w:eastAsia="微软雅黑"/>
          <w:sz w:val="21"/>
          <w:szCs w:val="21"/>
          <w:lang w:val="en-US" w:eastAsia="zh-Hans"/>
        </w:rPr>
        <w:t>小工返利</w:t>
      </w:r>
      <w:r>
        <w:rPr>
          <w:rFonts w:hint="eastAsia" w:ascii="微软雅黑" w:hAnsi="微软雅黑" w:eastAsia="微软雅黑"/>
          <w:sz w:val="21"/>
          <w:szCs w:val="21"/>
          <w:lang w:val="en-US" w:eastAsia="zh-CN"/>
        </w:rPr>
        <w:t>”</w:t>
      </w:r>
      <w:r>
        <w:rPr>
          <w:rFonts w:hint="eastAsia" w:ascii="微软雅黑" w:hAnsi="微软雅黑" w:eastAsia="微软雅黑"/>
          <w:sz w:val="21"/>
          <w:szCs w:val="21"/>
          <w:lang w:val="en-US" w:eastAsia="zh-Hans"/>
        </w:rPr>
        <w:t>的</w:t>
      </w:r>
      <w:r>
        <w:rPr>
          <w:rFonts w:hint="eastAsia" w:ascii="微软雅黑" w:hAnsi="微软雅黑" w:eastAsia="微软雅黑"/>
          <w:sz w:val="21"/>
          <w:szCs w:val="21"/>
          <w:lang w:val="en-US" w:eastAsia="zh-CN"/>
        </w:rPr>
        <w:t>互动式</w:t>
      </w:r>
      <w:r>
        <w:rPr>
          <w:rFonts w:hint="eastAsia" w:ascii="微软雅黑" w:hAnsi="微软雅黑" w:eastAsia="微软雅黑"/>
          <w:sz w:val="21"/>
          <w:szCs w:val="21"/>
          <w:lang w:val="en-US" w:eastAsia="zh-Hans"/>
        </w:rPr>
        <w:t>营销活动沉淀大量</w:t>
      </w:r>
      <w:r>
        <w:rPr>
          <w:rFonts w:hint="eastAsia" w:ascii="微软雅黑" w:hAnsi="微软雅黑" w:eastAsia="微软雅黑"/>
          <w:sz w:val="21"/>
          <w:szCs w:val="21"/>
          <w:lang w:val="en-US" w:eastAsia="zh-CN"/>
        </w:rPr>
        <w:t>核心用户</w:t>
      </w:r>
      <w:r>
        <w:rPr>
          <w:rFonts w:hint="eastAsia" w:ascii="微软雅黑" w:hAnsi="微软雅黑" w:eastAsia="微软雅黑"/>
          <w:sz w:val="21"/>
          <w:szCs w:val="21"/>
          <w:lang w:val="en-US" w:eastAsia="zh-Hans"/>
        </w:rPr>
        <w:t>，</w:t>
      </w:r>
      <w:r>
        <w:rPr>
          <w:rFonts w:hint="eastAsia" w:ascii="微软雅黑" w:hAnsi="微软雅黑" w:eastAsia="微软雅黑"/>
          <w:sz w:val="21"/>
          <w:szCs w:val="21"/>
          <w:lang w:val="en-US" w:eastAsia="zh-CN"/>
        </w:rPr>
        <w:t>结合积分玩法、</w:t>
      </w:r>
      <w:r>
        <w:rPr>
          <w:rFonts w:hint="eastAsia" w:ascii="微软雅黑" w:hAnsi="微软雅黑" w:eastAsia="微软雅黑"/>
          <w:sz w:val="21"/>
          <w:szCs w:val="21"/>
          <w:lang w:val="en-US" w:eastAsia="zh-Hans"/>
        </w:rPr>
        <w:t>社群运营、会员体系搭建，</w:t>
      </w:r>
      <w:r>
        <w:rPr>
          <w:rFonts w:hint="eastAsia" w:ascii="微软雅黑" w:hAnsi="微软雅黑" w:eastAsia="微软雅黑"/>
          <w:sz w:val="21"/>
          <w:szCs w:val="21"/>
          <w:lang w:val="en-US" w:eastAsia="zh-CN"/>
        </w:rPr>
        <w:t>加深会员链接和粘性</w:t>
      </w:r>
      <w:r>
        <w:rPr>
          <w:rFonts w:hint="eastAsia" w:ascii="微软雅黑" w:hAnsi="微软雅黑" w:eastAsia="微软雅黑"/>
          <w:sz w:val="21"/>
          <w:szCs w:val="21"/>
          <w:lang w:val="en-US" w:eastAsia="zh-Hans"/>
        </w:rPr>
        <w:t>，</w:t>
      </w:r>
      <w:r>
        <w:rPr>
          <w:rFonts w:hint="eastAsia" w:ascii="微软雅黑" w:hAnsi="微软雅黑" w:eastAsia="微软雅黑"/>
          <w:sz w:val="21"/>
          <w:szCs w:val="21"/>
          <w:lang w:val="en-US" w:eastAsia="zh-CN"/>
        </w:rPr>
        <w:t>为</w:t>
      </w:r>
      <w:r>
        <w:rPr>
          <w:rFonts w:hint="eastAsia" w:ascii="微软雅黑" w:hAnsi="微软雅黑" w:eastAsia="微软雅黑"/>
          <w:sz w:val="21"/>
          <w:szCs w:val="21"/>
          <w:lang w:val="en-US" w:eastAsia="zh-Hans"/>
        </w:rPr>
        <w:t>企业的长久发展奠定了基础。</w:t>
      </w:r>
      <w:r>
        <w:rPr>
          <w:rFonts w:hint="eastAsia" w:ascii="微软雅黑" w:hAnsi="微软雅黑" w:eastAsia="微软雅黑"/>
          <w:sz w:val="21"/>
          <w:szCs w:val="21"/>
          <w:lang w:val="en-US" w:eastAsia="zh-CN"/>
        </w:rPr>
        <w:t>合作期间，</w:t>
      </w:r>
      <w:r>
        <w:rPr>
          <w:rFonts w:hint="eastAsia" w:ascii="微软雅黑" w:hAnsi="微软雅黑" w:eastAsia="微软雅黑"/>
          <w:sz w:val="21"/>
          <w:szCs w:val="21"/>
          <w:lang w:val="en-US" w:eastAsia="zh-Hans"/>
        </w:rPr>
        <w:t>胖子腻子产品占有率在河南市场达到40%以上，郑州等部分地域市占率超70%，并在域外市场顺利拓展。</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胖子腻子目前有近十类产品应用了利多码一物一码赋码方案，通过“扫码有奖”（积分、红包、5G手机、打磨机、净水机、网红烤箱、保温水杯等）的领奖关注形式将C端用户沉淀到官方微信公众号。在年庆期间，胖子腻子在公众号私域池内发布了“会员专属年庆卡”，推出“68元领528元会员好礼”的活动，将工友纳入了付费注册会员体系中。</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Hiragino Sans GB W3" w:hAnsi="Hiragino Sans GB W3" w:eastAsia="Hiragino Sans GB W3" w:cs="Hiragino Sans GB W3"/>
          <w:color w:val="7F7F7F" w:themeColor="background1" w:themeShade="80"/>
          <w:sz w:val="21"/>
          <w:szCs w:val="21"/>
          <w:lang w:val="en-US" w:eastAsia="zh-CN"/>
        </w:rPr>
      </w:pPr>
      <w:r>
        <w:rPr>
          <w:rFonts w:hint="eastAsia" w:ascii="微软雅黑" w:hAnsi="微软雅黑" w:eastAsia="微软雅黑"/>
          <w:sz w:val="21"/>
          <w:szCs w:val="21"/>
          <w:lang w:val="en-US" w:eastAsia="zh-CN"/>
        </w:rPr>
        <w:t>随后，胖子腻子持续引导会员加企业微信，在企业微信社群内通过“晒单分享领积分”“积分商城兑奖”“会员日抽奖”“会员季度扫码排行榜”等形式进一步做精细化会员分层运营，不断刺激小工师傅复购扫码、自主分享、提升会员等级，形成了私域会员运营内高效促单闭环同时，降低了实际营销成本。</w:t>
      </w:r>
    </w:p>
    <w:p>
      <w:pPr>
        <w:keepNext w:val="0"/>
        <w:keepLines w:val="0"/>
        <w:pageBreakBefore w:val="0"/>
        <w:widowControl w:val="0"/>
        <w:suppressLineNumbers w:val="0"/>
        <w:kinsoku/>
        <w:wordWrap/>
        <w:overflowPunct/>
        <w:topLinePunct w:val="0"/>
        <w:autoSpaceDE/>
        <w:autoSpaceDN/>
        <w:bidi w:val="0"/>
        <w:adjustRightInd w:val="0"/>
        <w:snapToGrid w:val="0"/>
        <w:spacing w:before="100" w:beforeAutospacing="1" w:after="100" w:afterAutospacing="1" w:line="240" w:lineRule="auto"/>
        <w:ind w:left="0" w:leftChars="0" w:right="0" w:rightChars="0" w:firstLine="0" w:firstLineChars="0"/>
        <w:jc w:val="both"/>
        <w:textAlignment w:val="auto"/>
        <w:outlineLvl w:val="9"/>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利多码&amp;胖子腻子数智化营销案例创新关键词：</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用户拉新：赋码营销，培养品牌忠诚</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用户沉淀：小工识别，私域引流</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用户留存：积分活用，会员权益</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用户活跃：千人千面，100%中奖活动</w:t>
      </w:r>
    </w:p>
    <w:p>
      <w:pPr>
        <w:keepNext w:val="0"/>
        <w:keepLines w:val="0"/>
        <w:pageBreakBefore w:val="0"/>
        <w:kinsoku/>
        <w:wordWrap/>
        <w:overflowPunct/>
        <w:topLinePunct w:val="0"/>
        <w:autoSpaceDE/>
        <w:autoSpaceDN/>
        <w:bidi w:val="0"/>
        <w:spacing w:before="100" w:beforeAutospacing="1" w:after="100" w:afterAutospacing="1" w:line="240" w:lineRule="auto"/>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用户裂变：专属链接，分享有礼</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100" w:beforeAutospacing="1" w:after="100" w:afterAutospacing="1"/>
        <w:ind w:left="0" w:right="0" w:firstLine="0"/>
        <w:jc w:val="left"/>
        <w:rPr>
          <w:rFonts w:hint="eastAsia" w:ascii="Microsoft YaHei UI" w:hAnsi="Microsoft YaHei UI" w:eastAsia="Microsoft YaHei UI" w:cs="Microsoft YaHei UI"/>
          <w:i w:val="0"/>
          <w:iCs w:val="0"/>
          <w:caps w:val="0"/>
          <w:color w:val="222222"/>
          <w:spacing w:val="7"/>
          <w:sz w:val="21"/>
          <w:szCs w:val="21"/>
          <w:shd w:val="clear" w:fill="FFFFFF"/>
        </w:rPr>
      </w:pPr>
      <w:r>
        <w:rPr>
          <w:rFonts w:hint="eastAsia" w:ascii="Microsoft YaHei UI" w:hAnsi="Microsoft YaHei UI" w:eastAsia="Microsoft YaHei UI" w:cs="Microsoft YaHei UI"/>
          <w:i w:val="0"/>
          <w:iCs w:val="0"/>
          <w:caps w:val="0"/>
          <w:color w:val="222222"/>
          <w:spacing w:val="7"/>
          <w:sz w:val="21"/>
          <w:szCs w:val="21"/>
          <w:shd w:val="clear" w:fill="FFFFFF"/>
        </w:rPr>
        <w:drawing>
          <wp:inline distT="0" distB="0" distL="114300" distR="114300">
            <wp:extent cx="5760085" cy="3425190"/>
            <wp:effectExtent l="0" t="0" r="5715" b="381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1"/>
                    <a:stretch>
                      <a:fillRect/>
                    </a:stretch>
                  </pic:blipFill>
                  <pic:spPr>
                    <a:xfrm>
                      <a:off x="0" y="0"/>
                      <a:ext cx="5760085" cy="342519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该案例营销成果：</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1.会员日活跃度10%+，月均活跃度50%+；</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2.会员参与付费年卡活动积极踊跃；</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3.复购20次以上的小工师傅占全部小工师傅总数的27%，复购50次以上的小工师傅比例超过18%，复购100次以上的小工师傅接近10%；</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cs="微软雅黑"/>
          <w:i w:val="0"/>
          <w:iCs w:val="0"/>
          <w:caps w:val="0"/>
          <w:color w:val="222222"/>
          <w:spacing w:val="7"/>
          <w:sz w:val="21"/>
          <w:szCs w:val="21"/>
          <w:shd w:val="clear" w:fill="FFFFFF"/>
          <w:lang w:val="en-US" w:eastAsia="zh-CN"/>
        </w:rPr>
      </w:pPr>
      <w:r>
        <w:rPr>
          <w:rFonts w:hint="eastAsia" w:ascii="微软雅黑" w:hAnsi="微软雅黑" w:eastAsia="微软雅黑"/>
          <w:sz w:val="21"/>
          <w:szCs w:val="21"/>
          <w:lang w:val="en-US" w:eastAsia="zh-CN"/>
        </w:rPr>
        <w:t>4.小工师傅通过使用胖子系列产品，参与领红包活动，额外获利月度人均约1000元左右。</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二、对“消费品流量”概念及趋势的洞察</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2022年，立返利率先提出了“消费品流量”的趋势洞察。</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cs="微软雅黑"/>
          <w:color w:val="auto"/>
          <w:sz w:val="21"/>
          <w:szCs w:val="21"/>
          <w:lang w:val="en-US" w:eastAsia="zh-CN"/>
        </w:rPr>
      </w:pPr>
      <w:r>
        <w:rPr>
          <w:rStyle w:val="13"/>
          <w:rFonts w:hint="eastAsia" w:ascii="微软雅黑" w:hAnsi="微软雅黑" w:eastAsia="微软雅黑" w:cs="微软雅黑"/>
          <w:i w:val="0"/>
          <w:iCs w:val="0"/>
          <w:caps w:val="0"/>
          <w:color w:val="auto"/>
          <w:spacing w:val="7"/>
          <w:sz w:val="21"/>
          <w:szCs w:val="21"/>
          <w:shd w:val="clear" w:fill="FFFFFF"/>
        </w:rPr>
        <w:t>消费品流量，即每一件消费品在流通过程中，都能作为交互窗口，用来沉淀精准用户，并附加产生广告效应与流量价值。</w:t>
      </w:r>
      <w:r>
        <w:rPr>
          <w:rStyle w:val="13"/>
          <w:rFonts w:hint="eastAsia" w:ascii="微软雅黑" w:hAnsi="微软雅黑" w:eastAsia="微软雅黑" w:cs="微软雅黑"/>
          <w:i w:val="0"/>
          <w:iCs w:val="0"/>
          <w:caps w:val="0"/>
          <w:color w:val="auto"/>
          <w:spacing w:val="7"/>
          <w:sz w:val="21"/>
          <w:szCs w:val="21"/>
          <w:shd w:val="clear" w:fill="FFFFFF"/>
          <w:lang w:eastAsia="zh-CN"/>
        </w:rPr>
        <w:t>——</w:t>
      </w:r>
      <w:r>
        <w:rPr>
          <w:rStyle w:val="13"/>
          <w:rFonts w:hint="eastAsia" w:ascii="微软雅黑" w:hAnsi="微软雅黑" w:eastAsia="微软雅黑" w:cs="微软雅黑"/>
          <w:i w:val="0"/>
          <w:iCs w:val="0"/>
          <w:caps w:val="0"/>
          <w:color w:val="auto"/>
          <w:spacing w:val="7"/>
          <w:sz w:val="21"/>
          <w:szCs w:val="21"/>
          <w:shd w:val="clear" w:fill="FFFFFF"/>
          <w:lang w:val="en-US" w:eastAsia="zh-CN"/>
        </w:rPr>
        <w:t>利多码数智营销中心</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在为消费品行业提供营销解决方案的过程中，立返利洞察并核心布局消费品流量（每一件销售出去的产品作为引流入口，沉淀下来的精准用户）时代，将会是传媒流量、移动广告流量之后的未来发展趋势与流量入口，在精准度、转化率方面，具绝对优势。</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ascii="宋体" w:hAnsi="宋体" w:eastAsia="宋体" w:cs="宋体"/>
          <w:sz w:val="21"/>
          <w:szCs w:val="21"/>
        </w:rPr>
        <w:drawing>
          <wp:inline distT="0" distB="0" distL="114300" distR="114300">
            <wp:extent cx="5721350" cy="3745865"/>
            <wp:effectExtent l="0" t="0" r="6350" b="63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2"/>
                    <a:stretch>
                      <a:fillRect/>
                    </a:stretch>
                  </pic:blipFill>
                  <pic:spPr>
                    <a:xfrm>
                      <a:off x="0" y="0"/>
                      <a:ext cx="5721350" cy="3745865"/>
                    </a:xfrm>
                    <a:prstGeom prst="rect">
                      <a:avLst/>
                    </a:prstGeom>
                    <a:noFill/>
                    <a:ln w="9525">
                      <a:noFill/>
                    </a:ln>
                  </pic:spPr>
                </pic:pic>
              </a:graphicData>
            </a:graphic>
          </wp:inline>
        </w:drawing>
      </w:r>
      <w:r>
        <w:rPr>
          <w:rFonts w:hint="eastAsia" w:ascii="微软雅黑" w:hAnsi="微软雅黑" w:eastAsia="微软雅黑"/>
          <w:sz w:val="21"/>
          <w:szCs w:val="21"/>
          <w:lang w:val="en-US" w:eastAsia="zh-CN"/>
        </w:rPr>
        <w:br w:type="textWrapping"/>
      </w:r>
      <w:r>
        <w:rPr>
          <w:rFonts w:hint="eastAsia" w:ascii="微软雅黑" w:hAnsi="微软雅黑" w:eastAsia="微软雅黑"/>
          <w:sz w:val="21"/>
          <w:szCs w:val="21"/>
          <w:lang w:val="en-US" w:eastAsia="zh-CN"/>
        </w:rPr>
        <w:t>一是帮品牌形成自身流量矩阵，不同品类与产品之间流量互转，为企业与消费者提供更精准更优质的链接服务；二是关联品牌联动广告，如奶粉与童装，或依据大数据分析智能匹配广告。为品牌双方提供共赢解决方案，实现营销效率效益提升；消费品流量时代的到来，将打破线下线上隔阂，产品所及之处可任意引流，与B2C、O2O等模式均可融合，发展前景和空间广阔。</w:t>
      </w:r>
    </w:p>
    <w:p>
      <w:pPr>
        <w:keepNext w:val="0"/>
        <w:keepLines w:val="0"/>
        <w:pageBreakBefore w:val="0"/>
        <w:numPr>
          <w:ilvl w:val="0"/>
          <w:numId w:val="0"/>
        </w:numPr>
        <w:kinsoku/>
        <w:wordWrap/>
        <w:overflowPunct/>
        <w:topLinePunct w:val="0"/>
        <w:autoSpaceDE/>
        <w:autoSpaceDN/>
        <w:bidi w:val="0"/>
        <w:spacing w:before="100" w:beforeAutospacing="1" w:after="100" w:afterAutospacing="1"/>
        <w:textAlignment w:val="baseline"/>
        <w:rPr>
          <w:rFonts w:hint="eastAsia" w:ascii="微软雅黑" w:hAnsi="微软雅黑" w:eastAsia="微软雅黑"/>
          <w:b/>
          <w:bCs/>
          <w:sz w:val="21"/>
          <w:szCs w:val="21"/>
          <w:lang w:val="en-US" w:eastAsia="zh-CN"/>
        </w:rPr>
      </w:pPr>
      <w:r>
        <w:rPr>
          <w:rFonts w:hint="eastAsia" w:ascii="微软雅黑" w:hAnsi="微软雅黑" w:eastAsia="微软雅黑"/>
          <w:b/>
          <w:bCs/>
          <w:sz w:val="21"/>
          <w:szCs w:val="21"/>
          <w:lang w:val="en-US" w:eastAsia="zh-CN"/>
        </w:rPr>
        <w:t>三、大生态影响力</w:t>
      </w:r>
    </w:p>
    <w:p>
      <w:pPr>
        <w:keepNext w:val="0"/>
        <w:keepLines w:val="0"/>
        <w:pageBreakBefore w:val="0"/>
        <w:numPr>
          <w:ilvl w:val="0"/>
          <w:numId w:val="0"/>
        </w:numPr>
        <w:kinsoku/>
        <w:wordWrap/>
        <w:overflowPunct/>
        <w:topLinePunct w:val="0"/>
        <w:autoSpaceDE/>
        <w:autoSpaceDN/>
        <w:bidi w:val="0"/>
        <w:spacing w:before="100" w:beforeAutospacing="1" w:after="100" w:afterAutospacing="1"/>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2022年，利多码加快了与大生态平台的合作步伐，除厂商及第三方合作伙伴外。开辟了与亚马逊、支付宝、腾讯零售等生态圈层的资源合作及产品能力合作，提升了更多行业影响力。</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default" w:ascii="微软雅黑" w:hAnsi="微软雅黑" w:eastAsia="微软雅黑"/>
          <w:b/>
          <w:bCs/>
          <w:sz w:val="21"/>
          <w:szCs w:val="21"/>
          <w:lang w:val="en-US" w:eastAsia="zh-CN"/>
        </w:rPr>
      </w:pPr>
      <w:r>
        <w:rPr>
          <w:rFonts w:hint="eastAsia" w:ascii="微软雅黑" w:hAnsi="微软雅黑" w:eastAsia="微软雅黑"/>
          <w:b/>
          <w:bCs/>
          <w:sz w:val="21"/>
          <w:szCs w:val="21"/>
          <w:lang w:val="en-US" w:eastAsia="zh-CN"/>
        </w:rPr>
        <w:t>四、获得的行业认可</w:t>
      </w:r>
    </w:p>
    <w:p>
      <w:pPr>
        <w:keepNext w:val="0"/>
        <w:keepLines w:val="0"/>
        <w:pageBreakBefore w:val="0"/>
        <w:kinsoku/>
        <w:wordWrap/>
        <w:overflowPunct/>
        <w:topLinePunct w:val="0"/>
        <w:autoSpaceDE/>
        <w:autoSpaceDN/>
        <w:bidi w:val="0"/>
        <w:spacing w:before="100" w:beforeAutospacing="1" w:after="100" w:afterAutospacing="1"/>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2022年，立返利以更丰厚的行业影响力，被“2022中国数字化营销服务商全景产业地图”、“2022中国营销技术生态图谱”、“全球数字营销商业服务生态图谱”收录。并荣获了由中国广告协会互联网广告工作委员会主办的“中国数字营销实战大赛”3项殊荣：年度数字营销创新平台、年度营销技术优秀解决方案、年度品牌创新营销优秀案例。</w:t>
      </w:r>
    </w:p>
    <w:p>
      <w:pPr>
        <w:spacing w:before="100" w:beforeAutospacing="1" w:after="100" w:afterAutospacing="1"/>
        <w:rPr>
          <w:rFonts w:ascii="微软雅黑" w:hAnsi="微软雅黑" w:eastAsia="微软雅黑"/>
          <w:bCs/>
        </w:rPr>
      </w:pPr>
      <w:r>
        <w:rPr>
          <w:sz w:val="21"/>
          <w:szCs w:val="21"/>
        </w:rPr>
        <w:drawing>
          <wp:inline distT="0" distB="0" distL="114300" distR="114300">
            <wp:extent cx="5853430" cy="2644775"/>
            <wp:effectExtent l="0" t="0" r="0" b="0"/>
            <wp:docPr id="5" name="图片 8" descr="微信图片_2022122717424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微信图片_20221227174247_副本"/>
                    <pic:cNvPicPr>
                      <a:picLocks noChangeAspect="1"/>
                    </pic:cNvPicPr>
                  </pic:nvPicPr>
                  <pic:blipFill>
                    <a:blip r:embed="rId13"/>
                    <a:stretch>
                      <a:fillRect/>
                    </a:stretch>
                  </pic:blipFill>
                  <pic:spPr>
                    <a:xfrm>
                      <a:off x="0" y="0"/>
                      <a:ext cx="5853430" cy="2644775"/>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服务的主要客户</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2022年我们重点服务客户如下（部分）：</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东方雨虹、科顺、立邦、牛元、紫荆花、三棵树、日丰管、伟星管、胖子腻子、牛栏山、河套酒业、泸州老窖、汾酒、百威、真心食品、正大食品、滨崎食品、辉煌食品、美孚、一汽、领航、云图控股、世多乐、仁和药业、中欧班列等。</w:t>
      </w:r>
    </w:p>
    <w:sectPr>
      <w:headerReference r:id="rId5"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iragino Sans GB W3">
    <w:altName w:val="宋体"/>
    <w:panose1 w:val="020B0300000000000000"/>
    <w:charset w:val="86"/>
    <w:family w:val="auto"/>
    <w:pitch w:val="default"/>
    <w:sig w:usb0="00000000" w:usb1="00000000" w:usb2="00000016" w:usb3="00000000" w:csb0="00060007"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JlOWQ2MTZmNThmNzI0ODVlODI5NWI0YzI3YjYyZGEifQ=="/>
  </w:docVars>
  <w:rsids>
    <w:rsidRoot w:val="00172A27"/>
    <w:rsid w:val="0000069D"/>
    <w:rsid w:val="00004F1D"/>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 w:val="01910A08"/>
    <w:rsid w:val="02245871"/>
    <w:rsid w:val="073914CB"/>
    <w:rsid w:val="07B52DAA"/>
    <w:rsid w:val="098C6F25"/>
    <w:rsid w:val="0ABE14CD"/>
    <w:rsid w:val="0BC87F6C"/>
    <w:rsid w:val="0C1905F4"/>
    <w:rsid w:val="0D897535"/>
    <w:rsid w:val="0F1D151B"/>
    <w:rsid w:val="13174AE5"/>
    <w:rsid w:val="140F4DB4"/>
    <w:rsid w:val="165D6CB3"/>
    <w:rsid w:val="17563E2E"/>
    <w:rsid w:val="1785372B"/>
    <w:rsid w:val="17C52D61"/>
    <w:rsid w:val="1B8E5793"/>
    <w:rsid w:val="1C3F7586"/>
    <w:rsid w:val="1E0B7E86"/>
    <w:rsid w:val="1E885939"/>
    <w:rsid w:val="1F20660D"/>
    <w:rsid w:val="22B81E40"/>
    <w:rsid w:val="26DD6079"/>
    <w:rsid w:val="2A895E70"/>
    <w:rsid w:val="2D0B7011"/>
    <w:rsid w:val="30B31E99"/>
    <w:rsid w:val="32E26A66"/>
    <w:rsid w:val="34A42225"/>
    <w:rsid w:val="34FC3E0F"/>
    <w:rsid w:val="37362345"/>
    <w:rsid w:val="3AAF722D"/>
    <w:rsid w:val="3AFF6407"/>
    <w:rsid w:val="3B3D6A49"/>
    <w:rsid w:val="4070745F"/>
    <w:rsid w:val="423C5284"/>
    <w:rsid w:val="43151FA6"/>
    <w:rsid w:val="441F5424"/>
    <w:rsid w:val="45DE130F"/>
    <w:rsid w:val="46DF349F"/>
    <w:rsid w:val="49C739DB"/>
    <w:rsid w:val="51220301"/>
    <w:rsid w:val="528C0A30"/>
    <w:rsid w:val="552116CC"/>
    <w:rsid w:val="56680EAC"/>
    <w:rsid w:val="57B3129C"/>
    <w:rsid w:val="57C02622"/>
    <w:rsid w:val="58D52FBB"/>
    <w:rsid w:val="5A132EDD"/>
    <w:rsid w:val="5D745F4C"/>
    <w:rsid w:val="5DDB6408"/>
    <w:rsid w:val="60C244C1"/>
    <w:rsid w:val="61281B2C"/>
    <w:rsid w:val="62894684"/>
    <w:rsid w:val="62EE098B"/>
    <w:rsid w:val="64F86DF2"/>
    <w:rsid w:val="66501015"/>
    <w:rsid w:val="69971724"/>
    <w:rsid w:val="6A3707B0"/>
    <w:rsid w:val="6C021003"/>
    <w:rsid w:val="6DB82DCA"/>
    <w:rsid w:val="727D2ACC"/>
    <w:rsid w:val="735A6F11"/>
    <w:rsid w:val="74B44E65"/>
    <w:rsid w:val="754B57CB"/>
    <w:rsid w:val="79896671"/>
    <w:rsid w:val="79D6777C"/>
    <w:rsid w:val="7BEB4002"/>
    <w:rsid w:val="7C66180B"/>
    <w:rsid w:val="7CA554B7"/>
    <w:rsid w:val="7D6A6A08"/>
    <w:rsid w:val="7DAC0DCF"/>
    <w:rsid w:val="7F1F7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4">
    <w:name w:val="Plain Text"/>
    <w:basedOn w:val="1"/>
    <w:uiPriority w:val="0"/>
    <w:pPr>
      <w:widowControl/>
      <w:jc w:val="left"/>
    </w:pPr>
    <w:rPr>
      <w:rFonts w:ascii="Arial" w:hAnsi="Arial"/>
      <w:kern w:val="0"/>
      <w:sz w:val="18"/>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rPr>
  </w:style>
  <w:style w:type="paragraph" w:styleId="8">
    <w:name w:val="Normal (Web)"/>
    <w:basedOn w:val="1"/>
    <w:qFormat/>
    <w:uiPriority w:val="99"/>
    <w:pPr>
      <w:widowControl/>
      <w:spacing w:before="100" w:beforeAutospacing="1" w:after="100" w:afterAutospacing="1"/>
      <w:jc w:val="left"/>
    </w:pPr>
    <w:rPr>
      <w:rFonts w:ascii="宋体" w:hAnsi="宋体"/>
      <w:kern w:val="0"/>
      <w:sz w:val="24"/>
    </w:rPr>
  </w:style>
  <w:style w:type="paragraph" w:styleId="9">
    <w:name w:val="Title"/>
    <w:basedOn w:val="1"/>
    <w:link w:val="17"/>
    <w:qFormat/>
    <w:uiPriority w:val="0"/>
    <w:pPr>
      <w:widowControl/>
      <w:jc w:val="center"/>
    </w:pPr>
    <w:rPr>
      <w:b/>
      <w:sz w:val="28"/>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ind w:firstLine="420" w:firstLineChars="200"/>
    </w:pPr>
    <w:rPr>
      <w:rFonts w:ascii="Calibri" w:hAnsi="Calibri"/>
    </w:rPr>
  </w:style>
  <w:style w:type="paragraph" w:customStyle="1" w:styleId="22">
    <w:name w:val="p0"/>
    <w:basedOn w:val="1"/>
    <w:qFormat/>
    <w:uiPriority w:val="0"/>
    <w:pPr>
      <w:widowControl/>
    </w:pPr>
    <w:rPr>
      <w:kern w:val="0"/>
    </w:rPr>
  </w:style>
  <w:style w:type="paragraph" w:customStyle="1" w:styleId="23">
    <w:name w:val="css"/>
    <w:basedOn w:val="1"/>
    <w:qFormat/>
    <w:uiPriority w:val="0"/>
    <w:pPr>
      <w:widowControl/>
      <w:spacing w:before="100" w:beforeAutospacing="1" w:after="100" w:afterAutospacing="1"/>
      <w:jc w:val="left"/>
    </w:pPr>
    <w:rPr>
      <w:rFonts w:ascii="宋体" w:hAnsi="宋体"/>
      <w:color w:val="0F0000"/>
      <w:kern w:val="0"/>
      <w:sz w:val="18"/>
    </w:rPr>
  </w:style>
  <w:style w:type="paragraph" w:customStyle="1" w:styleId="24">
    <w:name w:val="清單段落"/>
    <w:basedOn w:val="1"/>
    <w:qFormat/>
    <w:uiPriority w:val="0"/>
    <w:pPr>
      <w:ind w:left="720"/>
    </w:p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C57CCB-9734-3848-A947-AA9D34861BD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6</Pages>
  <Words>2815</Words>
  <Characters>3004</Characters>
  <Lines>4</Lines>
  <Paragraphs>1</Paragraphs>
  <TotalTime>12</TotalTime>
  <ScaleCrop>false</ScaleCrop>
  <LinksUpToDate>false</LinksUpToDate>
  <CharactersWithSpaces>3011</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2015-11-23T07:41:00Z</dcterms:created>
  <dc:creator>雨林木风</dc:creator>
  <cp:lastModifiedBy>王阳</cp:lastModifiedBy>
  <cp:lastPrinted>2013-11-12T01:54:00Z</cp:lastPrinted>
  <dcterms:modified xsi:type="dcterms:W3CDTF">2023-02-23T04:04:07Z</dcterms:modified>
  <dc:title>No</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B660A2701A114A6A8FA811370162EE85</vt:lpwstr>
  </property>
</Properties>
</file>