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D13827" w14:textId="44A0553D" w:rsidR="00386776" w:rsidRPr="008C3828" w:rsidRDefault="00BC1CE0" w:rsidP="008C3828">
      <w:pPr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8C3828">
        <w:rPr>
          <w:rFonts w:ascii="微软雅黑" w:eastAsia="微软雅黑" w:hAnsi="微软雅黑" w:hint="eastAsia"/>
          <w:b/>
          <w:sz w:val="32"/>
          <w:szCs w:val="32"/>
        </w:rPr>
        <w:t>雀巢能恩全护大促场景出招新</w:t>
      </w:r>
    </w:p>
    <w:p w14:paraId="0B14D8D6" w14:textId="746A3E0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C1CE0">
        <w:rPr>
          <w:rFonts w:ascii="微软雅黑" w:eastAsia="微软雅黑" w:hAnsi="微软雅黑" w:hint="eastAsia"/>
          <w:sz w:val="21"/>
          <w:szCs w:val="21"/>
        </w:rPr>
        <w:t>雀巢</w:t>
      </w:r>
    </w:p>
    <w:p w14:paraId="39CF38F3" w14:textId="5002421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C1CE0">
        <w:rPr>
          <w:rFonts w:ascii="微软雅黑" w:eastAsia="微软雅黑" w:hAnsi="微软雅黑" w:hint="eastAsia"/>
          <w:sz w:val="21"/>
          <w:szCs w:val="21"/>
        </w:rPr>
        <w:t>快消</w:t>
      </w:r>
    </w:p>
    <w:p w14:paraId="5DC88663" w14:textId="0D9A67D2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="00C403E7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86776">
        <w:rPr>
          <w:rFonts w:ascii="微软雅黑" w:eastAsia="微软雅黑" w:hAnsi="微软雅黑"/>
          <w:sz w:val="21"/>
          <w:szCs w:val="21"/>
        </w:rPr>
        <w:t>06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86776">
        <w:rPr>
          <w:rFonts w:ascii="微软雅黑" w:eastAsia="微软雅黑" w:hAnsi="微软雅黑"/>
          <w:sz w:val="21"/>
          <w:szCs w:val="21"/>
        </w:rPr>
        <w:t>18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386776">
        <w:rPr>
          <w:rFonts w:ascii="微软雅黑" w:eastAsia="微软雅黑" w:hAnsi="微软雅黑"/>
          <w:sz w:val="21"/>
          <w:szCs w:val="21"/>
        </w:rPr>
        <w:t>07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C1CE0">
        <w:rPr>
          <w:rFonts w:ascii="微软雅黑" w:eastAsia="微软雅黑" w:hAnsi="微软雅黑"/>
          <w:sz w:val="21"/>
          <w:szCs w:val="21"/>
        </w:rPr>
        <w:t>20</w:t>
      </w:r>
    </w:p>
    <w:p w14:paraId="1F6E17B5" w14:textId="0C7C0E4A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403E7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16CAA012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66B984B" w14:textId="2E4FF2A6" w:rsidR="00266A5B" w:rsidRDefault="00BC1CE0" w:rsidP="000E0BC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5D82EDFC" wp14:editId="4CCB54C8">
            <wp:extent cx="3733800" cy="3752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705F" w14:textId="77777777" w:rsidR="00BC1CE0" w:rsidRPr="00C403E7" w:rsidRDefault="00BC1CE0" w:rsidP="008C3828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</w:pPr>
      <w:r w:rsidRPr="00C403E7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婴幼儿过敏，目前是全世界最关注的公共健康问题之一，在中国影响了约40.9%的宝宝，雀巢【能恩全护】作为雀巢全球首个【活性精粹5+1】的低敏配方，激活宝宝6大母爱级保护，是目前市面上最接近母乳的低敏配方奶粉之一。</w:t>
      </w:r>
    </w:p>
    <w:p w14:paraId="388FBCD6" w14:textId="77777777" w:rsidR="00BC1CE0" w:rsidRPr="00C403E7" w:rsidRDefault="00BC1CE0" w:rsidP="00C403E7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</w:pPr>
      <w:r w:rsidRPr="00C403E7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在奶粉品类的低敏赛道上，希望借助线上营销的精准挖掘低敏TA人群，高效运营品牌会员资产，面临着三重营销挑战：</w:t>
      </w:r>
    </w:p>
    <w:p w14:paraId="7D4C2CCA" w14:textId="34B7EA72" w:rsidR="00BC1CE0" w:rsidRPr="008C3828" w:rsidRDefault="00BC1CE0" w:rsidP="000E0BC6">
      <w:pPr>
        <w:textAlignment w:val="baseline"/>
        <w:rPr>
          <w:rFonts w:ascii="微软雅黑" w:eastAsia="微软雅黑" w:hAnsi="微软雅黑" w:cs="Times New Roman"/>
          <w:b/>
          <w:color w:val="000000" w:themeColor="text1"/>
          <w:sz w:val="21"/>
          <w:szCs w:val="21"/>
        </w:rPr>
      </w:pPr>
      <w:r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1</w:t>
      </w:r>
      <w:r w:rsidR="000E0BC6"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、</w:t>
      </w:r>
      <w:r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受品类特征影响，全护的目标低敏人群进准度搞，需要挖掘更多的低敏TA人群；</w:t>
      </w:r>
    </w:p>
    <w:p w14:paraId="6E5F336C" w14:textId="14FA32C3" w:rsidR="00BC1CE0" w:rsidRPr="008C3828" w:rsidRDefault="00BC1CE0" w:rsidP="000E0BC6">
      <w:pPr>
        <w:textAlignment w:val="baseline"/>
        <w:rPr>
          <w:rFonts w:ascii="微软雅黑" w:eastAsia="微软雅黑" w:hAnsi="微软雅黑" w:cs="Times New Roman"/>
          <w:b/>
          <w:color w:val="000000" w:themeColor="text1"/>
          <w:sz w:val="21"/>
          <w:szCs w:val="21"/>
        </w:rPr>
      </w:pPr>
      <w:r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2</w:t>
      </w:r>
      <w:r w:rsidR="000E0BC6"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、</w:t>
      </w:r>
      <w:r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店铺入驻时间短，品牌资产沉淀少</w:t>
      </w:r>
      <w:r w:rsidR="000E0BC6"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；</w:t>
      </w:r>
    </w:p>
    <w:p w14:paraId="5544A1C1" w14:textId="5D7A1BA2" w:rsidR="00BC1CE0" w:rsidRPr="008C3828" w:rsidRDefault="00BC1CE0" w:rsidP="000E0BC6">
      <w:pPr>
        <w:textAlignment w:val="baseline"/>
        <w:rPr>
          <w:rFonts w:ascii="微软雅黑" w:eastAsia="微软雅黑" w:hAnsi="微软雅黑"/>
          <w:b/>
          <w:color w:val="000000" w:themeColor="text1"/>
          <w:spacing w:val="8"/>
          <w:sz w:val="21"/>
          <w:szCs w:val="21"/>
        </w:rPr>
      </w:pPr>
      <w:r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3</w:t>
      </w:r>
      <w:r w:rsidR="000E0BC6"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、</w:t>
      </w:r>
      <w:r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淘内行业竞争激烈，获客成本高</w:t>
      </w:r>
      <w:r w:rsidR="000E0BC6" w:rsidRPr="008C3828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。</w:t>
      </w:r>
    </w:p>
    <w:p w14:paraId="33D9DCE3" w14:textId="2503E032" w:rsidR="00BC1CE0" w:rsidRPr="000E0BC6" w:rsidRDefault="00BC1CE0" w:rsidP="000E0BC6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</w:pPr>
      <w:r w:rsidRPr="000E0BC6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lastRenderedPageBreak/>
        <w:t>此次618期间，淘外人群高效触达转化成为雀巢【能恩全护】的客户是本次雀巢能恩在智能营销平台投放的核心目标；借助淘外新客成长计划，从获客量级和获客质量上解决拉新难的痛点；在奶粉品类的低敏赛道上，希望借助线上营销的精准挖掘低敏TA人群，高效运营品牌会员资产；</w:t>
      </w:r>
    </w:p>
    <w:p w14:paraId="36FADE2E" w14:textId="77777777" w:rsidR="00BC1CE0" w:rsidRPr="000E0BC6" w:rsidRDefault="00BC1CE0" w:rsidP="00C403E7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color w:val="000000" w:themeColor="text1"/>
          <w:sz w:val="21"/>
          <w:szCs w:val="21"/>
        </w:rPr>
      </w:pPr>
      <w:r w:rsidRPr="000E0BC6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超级汇川广告平台从获客量级、获客质量与获客工具三大维度下手，实现淘外新客计划助力雀巢能恩全护6</w:t>
      </w:r>
      <w:r w:rsidRPr="000E0BC6">
        <w:rPr>
          <w:rFonts w:ascii="微软雅黑" w:eastAsia="微软雅黑" w:hAnsi="微软雅黑" w:cs="Times New Roman"/>
          <w:b/>
          <w:color w:val="000000" w:themeColor="text1"/>
          <w:sz w:val="21"/>
          <w:szCs w:val="21"/>
        </w:rPr>
        <w:t>18</w:t>
      </w:r>
      <w:r w:rsidRPr="000E0BC6">
        <w:rPr>
          <w:rFonts w:ascii="微软雅黑" w:eastAsia="微软雅黑" w:hAnsi="微软雅黑" w:cs="Times New Roman" w:hint="eastAsia"/>
          <w:b/>
          <w:color w:val="000000" w:themeColor="text1"/>
          <w:sz w:val="21"/>
          <w:szCs w:val="21"/>
        </w:rPr>
        <w:t>大促场景掘新。</w:t>
      </w:r>
    </w:p>
    <w:p w14:paraId="3751F760" w14:textId="21F45F5B" w:rsidR="000631F9" w:rsidRPr="002C2690" w:rsidRDefault="000631F9" w:rsidP="00BC1C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72E60B2" w14:textId="46B86E92" w:rsidR="00EC1132" w:rsidRPr="005F5C93" w:rsidRDefault="00BC1CE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Arial" w:hint="eastAsia"/>
          <w:color w:val="000000"/>
          <w:sz w:val="21"/>
        </w:rPr>
        <w:t>触达转化效果、拉新成本等。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779D30D" w14:textId="77777777" w:rsidR="00BC1CE0" w:rsidRPr="00114C45" w:rsidRDefault="00BC1CE0" w:rsidP="0065405E">
      <w:pPr>
        <w:pStyle w:val="ac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 w:rsidRPr="00114C45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出淘业务超级汇川广告平台新客成长计划，从获客量级和获客质量层面帮助广告主决策拉新难的核心痛点：</w:t>
      </w:r>
    </w:p>
    <w:p w14:paraId="27A26A0C" w14:textId="77777777" w:rsidR="00BC1CE0" w:rsidRPr="004451F2" w:rsidRDefault="00BC1CE0" w:rsidP="0065405E">
      <w:pPr>
        <w:pStyle w:val="ac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BC1CE0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获客量级：</w:t>
      </w:r>
      <w:r w:rsidRPr="004451F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为提升新客冷启动效率，媒体通过新客专项、从流量供给侧提供获客支持，提升母婴赛道下与消费者沟通的概率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1CCB1D69" w14:textId="77777777" w:rsidR="00BC1CE0" w:rsidRDefault="00BC1CE0" w:rsidP="0065405E">
      <w:pPr>
        <w:pStyle w:val="ac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BC1CE0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获客质量：</w:t>
      </w:r>
      <w:r w:rsidRPr="004451F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推广前期针对品牌消费者画像分析，将意向TA分层重组，寻找不同消费利益点与奶粉潜客、奶粉决策、奶粉新客人群沟通；</w:t>
      </w:r>
    </w:p>
    <w:p w14:paraId="48A8BF66" w14:textId="77777777" w:rsidR="00BC1CE0" w:rsidRDefault="00BC1CE0" w:rsidP="006540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4451F2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在营销过程中，围绕消费者后链路行为进行建模分析，反推前期推广策略并及时调优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4319FDB1" w14:textId="71D5B32E" w:rsidR="00BC1CE0" w:rsidRDefault="00BC1CE0" w:rsidP="0065405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6CFD3931" wp14:editId="0FA6173A">
            <wp:extent cx="3810000" cy="2857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0CC38034" w:rsidR="00B5241D" w:rsidRPr="002C2690" w:rsidRDefault="000631F9" w:rsidP="00BC1C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B517ACD" w14:textId="77777777" w:rsidR="00BC1CE0" w:rsidRPr="0065405E" w:rsidRDefault="00BC1CE0" w:rsidP="0065405E">
      <w:pPr>
        <w:pStyle w:val="ac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65405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在传播策略与执行上，超级汇川广告平台充分利用平台获客工具：数据银行、牵星D</w:t>
      </w:r>
      <w:r w:rsidRPr="0065405E">
        <w:rPr>
          <w:rFonts w:ascii="微软雅黑" w:eastAsia="微软雅黑" w:hAnsi="微软雅黑"/>
          <w:color w:val="0D0D0D" w:themeColor="text1" w:themeTint="F2"/>
          <w:sz w:val="21"/>
          <w:szCs w:val="21"/>
        </w:rPr>
        <w:t>MP</w:t>
      </w:r>
      <w:r w:rsidRPr="0065405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及一键转化工具易达产品相结合，精准挖掘低敏TA人群，深度运营品牌会员资产，最终实现高效转化，整体执行可划分为传播前与传播中两大阶段：</w:t>
      </w:r>
    </w:p>
    <w:p w14:paraId="3FE0E67C" w14:textId="77777777" w:rsidR="00BC1CE0" w:rsidRPr="0065405E" w:rsidRDefault="00BC1CE0" w:rsidP="0065405E">
      <w:pPr>
        <w:pStyle w:val="ac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</w:rPr>
      </w:pPr>
      <w:r w:rsidRPr="0065405E">
        <w:rPr>
          <w:rFonts w:ascii="微软雅黑" w:eastAsia="微软雅黑" w:hAnsi="微软雅黑" w:cs="Arial" w:hint="eastAsia"/>
          <w:b/>
          <w:color w:val="000000" w:themeColor="text1"/>
          <w:sz w:val="21"/>
          <w:szCs w:val="21"/>
        </w:rPr>
        <w:t>传播执行前期：</w:t>
      </w:r>
    </w:p>
    <w:p w14:paraId="31F6FEFC" w14:textId="77777777" w:rsidR="00BC1CE0" w:rsidRPr="0065405E" w:rsidRDefault="00BC1CE0" w:rsidP="0065405E">
      <w:pPr>
        <w:pStyle w:val="ac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65405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充分利用数据银行与牵星D</w:t>
      </w:r>
      <w:r w:rsidRPr="0065405E">
        <w:rPr>
          <w:rFonts w:ascii="微软雅黑" w:eastAsia="微软雅黑" w:hAnsi="微软雅黑"/>
          <w:color w:val="0D0D0D" w:themeColor="text1" w:themeTint="F2"/>
          <w:sz w:val="21"/>
          <w:szCs w:val="21"/>
        </w:rPr>
        <w:t>MP</w:t>
      </w:r>
      <w:r w:rsidRPr="0065405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获客工具，针对品牌消费者画像分析，将意向TA分层重组，寻找不同消费利益点与奶粉潜客、奶粉决策、奶粉新客人群沟通；</w:t>
      </w:r>
    </w:p>
    <w:p w14:paraId="6BA0DE83" w14:textId="1F0D627B" w:rsidR="00BC1CE0" w:rsidRPr="0065405E" w:rsidRDefault="00BC1CE0" w:rsidP="0065405E">
      <w:pPr>
        <w:pStyle w:val="ac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65405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产品传播策略上充分利用信息流、开屏等大曝光资源，针对不同目标分层用户、不同区域用户、不同年龄段用户以千人千面有针对性触达，充分激发兴趣</w:t>
      </w:r>
      <w:r w:rsidR="00CC1A37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3414BA3E" w14:textId="77777777" w:rsidR="00BC1CE0" w:rsidRPr="0065405E" w:rsidRDefault="00BC1CE0" w:rsidP="0065405E">
      <w:pPr>
        <w:pStyle w:val="ac"/>
        <w:rPr>
          <w:rFonts w:ascii="微软雅黑" w:eastAsia="微软雅黑" w:hAnsi="微软雅黑" w:cs="Arial"/>
          <w:b/>
          <w:color w:val="000000" w:themeColor="text1"/>
          <w:sz w:val="21"/>
          <w:szCs w:val="21"/>
        </w:rPr>
      </w:pPr>
      <w:r w:rsidRPr="0065405E">
        <w:rPr>
          <w:rFonts w:ascii="微软雅黑" w:eastAsia="微软雅黑" w:hAnsi="微软雅黑" w:cs="Arial" w:hint="eastAsia"/>
          <w:b/>
          <w:color w:val="000000" w:themeColor="text1"/>
          <w:sz w:val="21"/>
          <w:szCs w:val="21"/>
        </w:rPr>
        <w:t>传播执行中期：</w:t>
      </w:r>
    </w:p>
    <w:p w14:paraId="1A39BC82" w14:textId="77777777" w:rsidR="00BC1CE0" w:rsidRPr="0065405E" w:rsidRDefault="00BC1CE0" w:rsidP="0065405E">
      <w:pPr>
        <w:pStyle w:val="ac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65405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在传播执行过程中，围绕消费者后链路行为进行建模分析，反推前期推广策略并及时调优，</w:t>
      </w:r>
      <w:r w:rsidRPr="0065405E">
        <w:rPr>
          <w:rFonts w:ascii="微软雅黑" w:eastAsia="微软雅黑" w:hAnsi="微软雅黑" w:cs="Arial" w:hint="eastAsia"/>
          <w:color w:val="000000"/>
          <w:sz w:val="21"/>
          <w:szCs w:val="21"/>
        </w:rPr>
        <w:t>承接前序人群、引导TA购买、引导淘内检索、淘外持续拉新</w:t>
      </w:r>
      <w:r w:rsidRPr="0065405E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38792BB8" w14:textId="1F95082C" w:rsidR="00607F37" w:rsidRDefault="00BC1CE0" w:rsidP="00CC1A37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 w:rsidRPr="0065405E">
        <w:rPr>
          <w:rFonts w:ascii="微软雅黑" w:eastAsia="微软雅黑" w:hAnsi="微软雅黑" w:cs="Arial" w:hint="eastAsia"/>
          <w:color w:val="000000"/>
          <w:sz w:val="21"/>
          <w:szCs w:val="21"/>
        </w:rPr>
        <w:t>产品传播策略上充分利用超级汇川广告平台套内引流资源——易达产品，一键关注、加购、购买，最终实现潜客人群互动参与——加深品牌认知——淘内回搜——人群再营销——淘内再购买的全链路营销。</w:t>
      </w:r>
    </w:p>
    <w:p w14:paraId="42F98493" w14:textId="5F5313E0" w:rsidR="00847B24" w:rsidRPr="008C3828" w:rsidRDefault="008C382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 w:rsidRPr="008C3828">
        <w:rPr>
          <w:rFonts w:ascii="微软雅黑" w:eastAsia="微软雅黑" w:hAnsi="微软雅黑" w:cs="Arial"/>
          <w:color w:val="000000"/>
          <w:sz w:val="21"/>
          <w:szCs w:val="21"/>
        </w:rPr>
        <w:lastRenderedPageBreak/>
        <w:drawing>
          <wp:inline distT="0" distB="0" distL="0" distR="0" wp14:anchorId="26B7E013" wp14:editId="771BFC1C">
            <wp:extent cx="5613400" cy="4914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2A00963" w14:textId="77777777" w:rsidR="00BC1CE0" w:rsidRPr="008C3828" w:rsidRDefault="00BC1CE0" w:rsidP="00BC1CE0">
      <w:pPr>
        <w:pStyle w:val="af4"/>
        <w:spacing w:line="460" w:lineRule="exact"/>
        <w:rPr>
          <w:rFonts w:ascii="微软雅黑" w:eastAsia="微软雅黑" w:hAnsi="微软雅黑"/>
          <w:bCs/>
          <w:color w:val="222222"/>
          <w:spacing w:val="8"/>
          <w:sz w:val="22"/>
          <w:shd w:val="clear" w:color="auto" w:fill="FFFFFF"/>
        </w:rPr>
      </w:pPr>
      <w:r w:rsidRPr="008C3828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C</w:t>
      </w:r>
      <w:r w:rsidRPr="008C3828"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  <w:t>TR</w:t>
      </w:r>
      <w:r w:rsidRPr="008C3828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高于均值</w:t>
      </w:r>
      <w:r w:rsidRPr="008C3828">
        <w:rPr>
          <w:rFonts w:ascii="微软雅黑" w:eastAsia="微软雅黑" w:hAnsi="微软雅黑" w:hint="eastAsia"/>
          <w:b/>
          <w:color w:val="000000" w:themeColor="text1"/>
          <w:spacing w:val="8"/>
          <w:shd w:val="clear" w:color="auto" w:fill="FFFFFF"/>
        </w:rPr>
        <w:t>8%+</w:t>
      </w:r>
    </w:p>
    <w:p w14:paraId="4094E465" w14:textId="77777777" w:rsidR="00BC1CE0" w:rsidRPr="008C3828" w:rsidRDefault="00BC1CE0" w:rsidP="00BC1CE0">
      <w:pPr>
        <w:pStyle w:val="af4"/>
        <w:spacing w:line="460" w:lineRule="exact"/>
        <w:rPr>
          <w:rFonts w:ascii="微软雅黑" w:eastAsia="微软雅黑" w:hAnsi="微软雅黑"/>
          <w:bCs/>
          <w:color w:val="222222"/>
          <w:spacing w:val="8"/>
          <w:sz w:val="22"/>
          <w:shd w:val="clear" w:color="auto" w:fill="FFFFFF"/>
        </w:rPr>
      </w:pPr>
      <w:r w:rsidRPr="008C3828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ROI提升</w:t>
      </w:r>
      <w:r w:rsidRPr="008C3828">
        <w:rPr>
          <w:rFonts w:ascii="微软雅黑" w:eastAsia="微软雅黑" w:hAnsi="微软雅黑" w:hint="eastAsia"/>
          <w:b/>
          <w:color w:val="000000" w:themeColor="text1"/>
          <w:spacing w:val="8"/>
          <w:shd w:val="clear" w:color="auto" w:fill="FFFFFF"/>
        </w:rPr>
        <w:t>30%</w:t>
      </w:r>
    </w:p>
    <w:p w14:paraId="748091DF" w14:textId="41B09055" w:rsidR="00CD031B" w:rsidRPr="008C3828" w:rsidRDefault="00BC1CE0" w:rsidP="004D6A4D">
      <w:pPr>
        <w:pStyle w:val="af4"/>
        <w:spacing w:line="460" w:lineRule="exact"/>
        <w:rPr>
          <w:rFonts w:ascii="微软雅黑" w:eastAsia="微软雅黑" w:hAnsi="微软雅黑"/>
          <w:b/>
          <w:color w:val="FF0000"/>
          <w:spacing w:val="8"/>
          <w:sz w:val="32"/>
          <w:shd w:val="clear" w:color="auto" w:fill="FFFFFF"/>
        </w:rPr>
      </w:pPr>
      <w:r w:rsidRPr="008C3828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拉新成本</w:t>
      </w:r>
      <w:r w:rsidRPr="008C3828">
        <w:rPr>
          <w:rFonts w:ascii="微软雅黑" w:eastAsia="微软雅黑" w:hAnsi="微软雅黑" w:hint="eastAsia"/>
          <w:b/>
          <w:color w:val="000000" w:themeColor="text1"/>
          <w:spacing w:val="8"/>
          <w:shd w:val="clear" w:color="auto" w:fill="FFFFFF"/>
        </w:rPr>
        <w:t>＜0</w:t>
      </w:r>
      <w:r w:rsidRPr="008C3828">
        <w:rPr>
          <w:rFonts w:ascii="微软雅黑" w:eastAsia="微软雅黑" w:hAnsi="微软雅黑"/>
          <w:b/>
          <w:color w:val="000000" w:themeColor="text1"/>
          <w:spacing w:val="8"/>
          <w:shd w:val="clear" w:color="auto" w:fill="FFFFFF"/>
        </w:rPr>
        <w:t>.7</w:t>
      </w:r>
      <w:bookmarkStart w:id="0" w:name="_GoBack"/>
      <w:bookmarkEnd w:id="0"/>
    </w:p>
    <w:sectPr w:rsidR="00CD031B" w:rsidRPr="008C3828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2E8C8" w14:textId="77777777" w:rsidR="00B90E12" w:rsidRDefault="00B90E12">
      <w:r>
        <w:separator/>
      </w:r>
    </w:p>
  </w:endnote>
  <w:endnote w:type="continuationSeparator" w:id="0">
    <w:p w14:paraId="286C17F8" w14:textId="77777777" w:rsidR="00B90E12" w:rsidRDefault="00B90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FFBE2" w14:textId="77777777" w:rsidR="00AB6BF4" w:rsidRDefault="00AB6B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DBCC5" w14:textId="77777777" w:rsidR="00B90E12" w:rsidRDefault="00B90E12">
      <w:r>
        <w:separator/>
      </w:r>
    </w:p>
  </w:footnote>
  <w:footnote w:type="continuationSeparator" w:id="0">
    <w:p w14:paraId="0299610B" w14:textId="77777777" w:rsidR="00B90E12" w:rsidRDefault="00B90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F3DAD" w14:textId="77777777" w:rsidR="00AB6BF4" w:rsidRDefault="00AB6BF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DF93B" w14:textId="77777777" w:rsidR="00AB6BF4" w:rsidRDefault="00AB6BF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F6F3364"/>
    <w:multiLevelType w:val="hybridMultilevel"/>
    <w:tmpl w:val="58F876AE"/>
    <w:lvl w:ilvl="0" w:tplc="09BA61B8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AB22059"/>
    <w:multiLevelType w:val="hybridMultilevel"/>
    <w:tmpl w:val="543C0230"/>
    <w:lvl w:ilvl="0" w:tplc="5A281D46">
      <w:start w:val="1"/>
      <w:numFmt w:val="decimal"/>
      <w:lvlText w:val="%1."/>
      <w:lvlJc w:val="left"/>
      <w:pPr>
        <w:ind w:left="280" w:hanging="28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C56917"/>
    <w:multiLevelType w:val="hybridMultilevel"/>
    <w:tmpl w:val="0EF40790"/>
    <w:lvl w:ilvl="0" w:tplc="E1ECDBDC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9"/>
  </w:num>
  <w:num w:numId="7">
    <w:abstractNumId w:val="17"/>
  </w:num>
  <w:num w:numId="8">
    <w:abstractNumId w:val="12"/>
  </w:num>
  <w:num w:numId="9">
    <w:abstractNumId w:val="11"/>
  </w:num>
  <w:num w:numId="10">
    <w:abstractNumId w:val="10"/>
  </w:num>
  <w:num w:numId="11">
    <w:abstractNumId w:val="14"/>
  </w:num>
  <w:num w:numId="12">
    <w:abstractNumId w:val="18"/>
  </w:num>
  <w:num w:numId="13">
    <w:abstractNumId w:val="6"/>
  </w:num>
  <w:num w:numId="14">
    <w:abstractNumId w:val="15"/>
  </w:num>
  <w:num w:numId="15">
    <w:abstractNumId w:val="3"/>
  </w:num>
  <w:num w:numId="16">
    <w:abstractNumId w:val="4"/>
  </w:num>
  <w:num w:numId="17">
    <w:abstractNumId w:val="1"/>
  </w:num>
  <w:num w:numId="18">
    <w:abstractNumId w:val="7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21FF"/>
    <w:rsid w:val="00024497"/>
    <w:rsid w:val="00030A60"/>
    <w:rsid w:val="00046CF7"/>
    <w:rsid w:val="00051A9A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0BC6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78E9"/>
    <w:rsid w:val="00250580"/>
    <w:rsid w:val="00252186"/>
    <w:rsid w:val="00255B1F"/>
    <w:rsid w:val="00262A77"/>
    <w:rsid w:val="00266A5B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C58"/>
    <w:rsid w:val="00361FEC"/>
    <w:rsid w:val="00362043"/>
    <w:rsid w:val="00365FAB"/>
    <w:rsid w:val="00371D9E"/>
    <w:rsid w:val="00371F8B"/>
    <w:rsid w:val="00384C5D"/>
    <w:rsid w:val="00386776"/>
    <w:rsid w:val="00386E93"/>
    <w:rsid w:val="0038758A"/>
    <w:rsid w:val="003A2FD7"/>
    <w:rsid w:val="003A3097"/>
    <w:rsid w:val="003A3802"/>
    <w:rsid w:val="003B4784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273F"/>
    <w:rsid w:val="004A4904"/>
    <w:rsid w:val="004C539E"/>
    <w:rsid w:val="004D3EF9"/>
    <w:rsid w:val="004D53A9"/>
    <w:rsid w:val="004D6A4D"/>
    <w:rsid w:val="004E459E"/>
    <w:rsid w:val="004E704D"/>
    <w:rsid w:val="004F1372"/>
    <w:rsid w:val="004F1399"/>
    <w:rsid w:val="004F1825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07F37"/>
    <w:rsid w:val="006126FE"/>
    <w:rsid w:val="00613CE9"/>
    <w:rsid w:val="00642F29"/>
    <w:rsid w:val="00644994"/>
    <w:rsid w:val="00650F34"/>
    <w:rsid w:val="0065405E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1642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3828"/>
    <w:rsid w:val="008F2CAF"/>
    <w:rsid w:val="00902EA3"/>
    <w:rsid w:val="00903505"/>
    <w:rsid w:val="00904242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25A7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3B59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6BF4"/>
    <w:rsid w:val="00AB7EE6"/>
    <w:rsid w:val="00AC6E5A"/>
    <w:rsid w:val="00AD1334"/>
    <w:rsid w:val="00AD1E2C"/>
    <w:rsid w:val="00AD58E1"/>
    <w:rsid w:val="00AD5FDE"/>
    <w:rsid w:val="00AE2FB3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0E12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1CE0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3E7"/>
    <w:rsid w:val="00C40E03"/>
    <w:rsid w:val="00C5015C"/>
    <w:rsid w:val="00C516C8"/>
    <w:rsid w:val="00C566CA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12DC"/>
    <w:rsid w:val="00CC1A37"/>
    <w:rsid w:val="00CC24FE"/>
    <w:rsid w:val="00CC70FB"/>
    <w:rsid w:val="00CD031B"/>
    <w:rsid w:val="00CE55AC"/>
    <w:rsid w:val="00D1108E"/>
    <w:rsid w:val="00D13BC3"/>
    <w:rsid w:val="00D14F03"/>
    <w:rsid w:val="00D24AC6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132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4F73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EC113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BD1B8F2-B129-5C49-959D-C416D437C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178</Words>
  <Characters>1018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5</cp:revision>
  <cp:lastPrinted>2012-10-11T08:46:00Z</cp:lastPrinted>
  <dcterms:created xsi:type="dcterms:W3CDTF">2023-02-03T06:40:00Z</dcterms:created>
  <dcterms:modified xsi:type="dcterms:W3CDTF">2023-02-19T14:34:00Z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