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D13827" w14:textId="7B4AD085" w:rsidR="00386776" w:rsidRPr="00D63F4F" w:rsidRDefault="004C766D" w:rsidP="00D63F4F">
      <w:pPr>
        <w:spacing w:beforeLines="100" w:before="240" w:afterLines="100" w:after="240"/>
        <w:jc w:val="center"/>
        <w:rPr>
          <w:rFonts w:ascii="微软雅黑" w:eastAsia="微软雅黑" w:hAnsi="微软雅黑"/>
          <w:b/>
          <w:sz w:val="32"/>
          <w:szCs w:val="32"/>
        </w:rPr>
      </w:pPr>
      <w:r w:rsidRPr="00D63F4F">
        <w:rPr>
          <w:rFonts w:ascii="微软雅黑" w:eastAsia="微软雅黑" w:hAnsi="微软雅黑"/>
          <w:b/>
          <w:sz w:val="32"/>
          <w:szCs w:val="32"/>
        </w:rPr>
        <w:t>阿里全域序列化助OPPO手机行业逆增长</w:t>
      </w:r>
    </w:p>
    <w:p w14:paraId="0B14D8D6" w14:textId="49C08281"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386776">
        <w:rPr>
          <w:rFonts w:ascii="微软雅黑" w:eastAsia="微软雅黑" w:hAnsi="微软雅黑" w:hint="eastAsia"/>
          <w:sz w:val="21"/>
          <w:szCs w:val="21"/>
        </w:rPr>
        <w:t>OPPO</w:t>
      </w:r>
      <w:bookmarkStart w:id="0" w:name="_GoBack"/>
      <w:bookmarkEnd w:id="0"/>
    </w:p>
    <w:p w14:paraId="39CF38F3" w14:textId="74B24A78"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386776">
        <w:rPr>
          <w:rFonts w:ascii="微软雅黑" w:eastAsia="微软雅黑" w:hAnsi="微软雅黑" w:hint="eastAsia"/>
          <w:sz w:val="21"/>
          <w:szCs w:val="21"/>
        </w:rPr>
        <w:t>数码3</w:t>
      </w:r>
      <w:r w:rsidR="00386776">
        <w:rPr>
          <w:rFonts w:ascii="微软雅黑" w:eastAsia="微软雅黑" w:hAnsi="微软雅黑"/>
          <w:sz w:val="21"/>
          <w:szCs w:val="21"/>
        </w:rPr>
        <w:t>C</w:t>
      </w:r>
    </w:p>
    <w:p w14:paraId="5DC88663" w14:textId="66C9F38D"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06</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18</w:t>
      </w:r>
      <w:r w:rsidR="007A4E3A" w:rsidRPr="00E5768D">
        <w:rPr>
          <w:rFonts w:ascii="微软雅黑" w:eastAsia="微软雅黑" w:hAnsi="微软雅黑" w:hint="eastAsia"/>
          <w:sz w:val="21"/>
          <w:szCs w:val="21"/>
        </w:rPr>
        <w:t>-</w:t>
      </w:r>
      <w:r w:rsidR="00386776">
        <w:rPr>
          <w:rFonts w:ascii="微软雅黑" w:eastAsia="微软雅黑" w:hAnsi="微软雅黑"/>
          <w:sz w:val="21"/>
          <w:szCs w:val="21"/>
        </w:rPr>
        <w:t>07</w:t>
      </w:r>
      <w:r w:rsidR="007A4E3A" w:rsidRPr="00E5768D">
        <w:rPr>
          <w:rFonts w:ascii="微软雅黑" w:eastAsia="微软雅黑" w:hAnsi="微软雅黑" w:hint="eastAsia"/>
          <w:sz w:val="21"/>
          <w:szCs w:val="21"/>
        </w:rPr>
        <w:t>.</w:t>
      </w:r>
      <w:r w:rsidR="004C766D">
        <w:rPr>
          <w:rFonts w:ascii="微软雅黑" w:eastAsia="微软雅黑" w:hAnsi="微软雅黑"/>
          <w:sz w:val="21"/>
          <w:szCs w:val="21"/>
        </w:rPr>
        <w:t>18</w:t>
      </w:r>
    </w:p>
    <w:p w14:paraId="1F6E17B5" w14:textId="2793A913"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AB7038">
        <w:rPr>
          <w:rFonts w:ascii="微软雅黑" w:eastAsia="微软雅黑" w:hAnsi="微软雅黑" w:hint="eastAsia"/>
          <w:sz w:val="21"/>
          <w:szCs w:val="21"/>
        </w:rPr>
        <w:t>效果营销类</w:t>
      </w:r>
    </w:p>
    <w:p w14:paraId="0E6F1D1F" w14:textId="16CAA012"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766B984B" w14:textId="1CAAB3C0" w:rsidR="00266A5B" w:rsidRDefault="004C766D" w:rsidP="007270CB">
      <w:pPr>
        <w:spacing w:before="100" w:beforeAutospacing="1" w:after="100" w:afterAutospacing="1"/>
        <w:textAlignment w:val="baseline"/>
        <w:rPr>
          <w:rFonts w:ascii="微软雅黑" w:eastAsia="微软雅黑" w:hAnsi="微软雅黑"/>
          <w:b/>
          <w:color w:val="C79E5B"/>
          <w:sz w:val="28"/>
        </w:rPr>
      </w:pPr>
      <w:r>
        <w:rPr>
          <w:noProof/>
        </w:rPr>
        <w:drawing>
          <wp:inline distT="0" distB="0" distL="0" distR="0" wp14:anchorId="10C9F3A4" wp14:editId="7D2E8FD7">
            <wp:extent cx="5720715" cy="32179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715" cy="3217902"/>
                    </a:xfrm>
                    <a:prstGeom prst="rect">
                      <a:avLst/>
                    </a:prstGeom>
                    <a:noFill/>
                    <a:ln>
                      <a:noFill/>
                    </a:ln>
                  </pic:spPr>
                </pic:pic>
              </a:graphicData>
            </a:graphic>
          </wp:inline>
        </w:drawing>
      </w:r>
    </w:p>
    <w:p w14:paraId="35D8C1B6" w14:textId="77777777" w:rsidR="00AB7038" w:rsidRDefault="004C766D" w:rsidP="00AB7038">
      <w:pPr>
        <w:spacing w:before="100" w:beforeAutospacing="1" w:after="100" w:afterAutospacing="1"/>
        <w:rPr>
          <w:rFonts w:ascii="微软雅黑" w:eastAsia="微软雅黑" w:hAnsi="微软雅黑"/>
          <w:sz w:val="21"/>
          <w:szCs w:val="21"/>
        </w:rPr>
      </w:pPr>
      <w:r w:rsidRPr="00AB7038">
        <w:rPr>
          <w:rFonts w:ascii="微软雅黑" w:eastAsia="微软雅黑" w:hAnsi="微软雅黑"/>
          <w:sz w:val="21"/>
          <w:szCs w:val="21"/>
        </w:rPr>
        <w:t>受全球经济下行的大环境影响，消费者换机周期变长；同时，购机决策链路也更加复杂、决策时间被拉长，导致近几年手机整体出货量下降。除此之外，国产手机品牌的自主研发也面临更多困难和挑战。作为OPPO手机品线的中流砥柱产品，其自研影像芯片的Reno8系列手机在今年正式发布，在持续攻坚“中国芯”技术难关的同时，OPPO也在营销获客层面面临挑战：</w:t>
      </w:r>
    </w:p>
    <w:p w14:paraId="383257BA" w14:textId="3842493D" w:rsidR="004C766D" w:rsidRPr="00AB7038" w:rsidRDefault="004C766D" w:rsidP="00AB7038">
      <w:pPr>
        <w:rPr>
          <w:rFonts w:ascii="微软雅黑" w:eastAsia="微软雅黑" w:hAnsi="微软雅黑"/>
          <w:sz w:val="21"/>
          <w:szCs w:val="21"/>
        </w:rPr>
      </w:pPr>
      <w:r w:rsidRPr="00AB7038">
        <w:rPr>
          <w:rFonts w:ascii="微软雅黑" w:eastAsia="微软雅黑" w:hAnsi="微软雅黑"/>
          <w:sz w:val="21"/>
          <w:szCs w:val="21"/>
        </w:rPr>
        <w:t>1</w:t>
      </w:r>
      <w:r w:rsidR="00AB7038">
        <w:rPr>
          <w:rFonts w:ascii="微软雅黑" w:eastAsia="微软雅黑" w:hAnsi="微软雅黑" w:hint="eastAsia"/>
          <w:sz w:val="21"/>
          <w:szCs w:val="21"/>
        </w:rPr>
        <w:t>、</w:t>
      </w:r>
      <w:r w:rsidRPr="00AB7038">
        <w:rPr>
          <w:rFonts w:ascii="微软雅黑" w:eastAsia="微软雅黑" w:hAnsi="微软雅黑"/>
          <w:sz w:val="21"/>
          <w:szCs w:val="21"/>
        </w:rPr>
        <w:t>如何鼓舞消费者信心、扩大品牌认知</w:t>
      </w:r>
      <w:r w:rsidRPr="00AB7038">
        <w:rPr>
          <w:rFonts w:ascii="微软雅黑" w:eastAsia="微软雅黑" w:hAnsi="微软雅黑" w:hint="eastAsia"/>
          <w:sz w:val="21"/>
          <w:szCs w:val="21"/>
        </w:rPr>
        <w:t>；</w:t>
      </w:r>
    </w:p>
    <w:p w14:paraId="7E5C45CB" w14:textId="49130425" w:rsidR="004C766D" w:rsidRPr="00AB7038" w:rsidRDefault="004C766D" w:rsidP="00AB7038">
      <w:pPr>
        <w:rPr>
          <w:rFonts w:ascii="微软雅黑" w:eastAsia="微软雅黑" w:hAnsi="微软雅黑"/>
          <w:sz w:val="21"/>
          <w:szCs w:val="21"/>
        </w:rPr>
      </w:pPr>
      <w:r w:rsidRPr="00AB7038">
        <w:rPr>
          <w:rFonts w:ascii="微软雅黑" w:eastAsia="微软雅黑" w:hAnsi="微软雅黑"/>
          <w:sz w:val="21"/>
          <w:szCs w:val="21"/>
        </w:rPr>
        <w:t>2</w:t>
      </w:r>
      <w:r w:rsidR="00AB7038">
        <w:rPr>
          <w:rFonts w:ascii="微软雅黑" w:eastAsia="微软雅黑" w:hAnsi="微软雅黑" w:hint="eastAsia"/>
          <w:sz w:val="21"/>
          <w:szCs w:val="21"/>
        </w:rPr>
        <w:t>、</w:t>
      </w:r>
      <w:r w:rsidRPr="00AB7038">
        <w:rPr>
          <w:rFonts w:ascii="微软雅黑" w:eastAsia="微软雅黑" w:hAnsi="微软雅黑"/>
          <w:sz w:val="21"/>
          <w:szCs w:val="21"/>
        </w:rPr>
        <w:t>如何在传播上解决消费者链路中决策割裂的问题，同时减少对用户的打扰</w:t>
      </w:r>
      <w:r w:rsidRPr="00AB7038">
        <w:rPr>
          <w:rFonts w:ascii="微软雅黑" w:eastAsia="微软雅黑" w:hAnsi="微软雅黑" w:hint="eastAsia"/>
          <w:sz w:val="21"/>
          <w:szCs w:val="21"/>
        </w:rPr>
        <w:t>；</w:t>
      </w:r>
    </w:p>
    <w:p w14:paraId="2A4BF135" w14:textId="3E714D61" w:rsidR="00AB7038" w:rsidRPr="00AB7038" w:rsidRDefault="004C766D" w:rsidP="00AB7038">
      <w:pPr>
        <w:spacing w:after="100" w:afterAutospacing="1"/>
        <w:rPr>
          <w:rFonts w:ascii="微软雅黑" w:eastAsia="微软雅黑" w:hAnsi="微软雅黑"/>
          <w:sz w:val="21"/>
          <w:szCs w:val="21"/>
        </w:rPr>
      </w:pPr>
      <w:r w:rsidRPr="00AB7038">
        <w:rPr>
          <w:rFonts w:ascii="微软雅黑" w:eastAsia="微软雅黑" w:hAnsi="微软雅黑"/>
          <w:sz w:val="21"/>
          <w:szCs w:val="21"/>
        </w:rPr>
        <w:t>3</w:t>
      </w:r>
      <w:r w:rsidR="00AB7038">
        <w:rPr>
          <w:rFonts w:ascii="微软雅黑" w:eastAsia="微软雅黑" w:hAnsi="微软雅黑" w:hint="eastAsia"/>
          <w:sz w:val="21"/>
          <w:szCs w:val="21"/>
        </w:rPr>
        <w:t>、</w:t>
      </w:r>
      <w:r w:rsidRPr="00AB7038">
        <w:rPr>
          <w:rFonts w:ascii="微软雅黑" w:eastAsia="微软雅黑" w:hAnsi="微软雅黑"/>
          <w:sz w:val="21"/>
          <w:szCs w:val="21"/>
        </w:rPr>
        <w:t>如何布局热门场景赛道，提升媒体矩阵效率</w:t>
      </w:r>
      <w:r w:rsidRPr="00AB7038">
        <w:rPr>
          <w:rFonts w:ascii="微软雅黑" w:eastAsia="微软雅黑" w:hAnsi="微软雅黑" w:hint="eastAsia"/>
          <w:sz w:val="21"/>
          <w:szCs w:val="21"/>
        </w:rPr>
        <w:t>。</w:t>
      </w:r>
    </w:p>
    <w:p w14:paraId="214FA159" w14:textId="7F924293" w:rsidR="004C766D" w:rsidRPr="00AB7038" w:rsidRDefault="004C766D" w:rsidP="00AB7038">
      <w:pPr>
        <w:pStyle w:val="ab"/>
        <w:spacing w:before="100" w:beforeAutospacing="1" w:after="100" w:afterAutospacing="1"/>
        <w:ind w:firstLineChars="0" w:firstLine="0"/>
        <w:textAlignment w:val="baseline"/>
        <w:rPr>
          <w:rFonts w:ascii="微软雅黑" w:eastAsia="微软雅黑" w:hAnsi="微软雅黑" w:cs="宋体"/>
          <w:kern w:val="0"/>
          <w:szCs w:val="21"/>
        </w:rPr>
      </w:pPr>
      <w:r w:rsidRPr="00AB7038">
        <w:rPr>
          <w:rFonts w:ascii="微软雅黑" w:eastAsia="微软雅黑" w:hAnsi="微软雅黑" w:cs="宋体"/>
          <w:kern w:val="0"/>
          <w:szCs w:val="21"/>
        </w:rPr>
        <w:t>OPPO在此次618投放中，智能营销平台的UC作为阿里序列化营销中的唯一资讯出口，在营销链路上</w:t>
      </w:r>
      <w:r w:rsidRPr="00AB7038">
        <w:rPr>
          <w:rFonts w:ascii="微软雅黑" w:eastAsia="微软雅黑" w:hAnsi="微软雅黑" w:cs="宋体" w:hint="eastAsia"/>
          <w:kern w:val="0"/>
          <w:szCs w:val="21"/>
        </w:rPr>
        <w:t>：</w:t>
      </w:r>
      <w:r w:rsidRPr="00AB7038">
        <w:rPr>
          <w:rFonts w:ascii="微软雅黑" w:eastAsia="微软雅黑" w:hAnsi="微软雅黑" w:cs="宋体"/>
          <w:kern w:val="0"/>
          <w:szCs w:val="21"/>
        </w:rPr>
        <w:t>承担着消费者关系加深</w:t>
      </w:r>
      <w:r w:rsidRPr="00AB7038">
        <w:rPr>
          <w:rFonts w:ascii="微软雅黑" w:eastAsia="微软雅黑" w:hAnsi="微软雅黑" w:cs="宋体" w:hint="eastAsia"/>
          <w:kern w:val="0"/>
          <w:szCs w:val="21"/>
        </w:rPr>
        <w:t>，分新品发布前、蓄水、首销、平销期四大阶段，采用不同策略与资源有针对性进行人群触达与投放，保障声量与效果并行，积极引导T</w:t>
      </w:r>
      <w:r w:rsidRPr="00AB7038">
        <w:rPr>
          <w:rFonts w:ascii="微软雅黑" w:eastAsia="微软雅黑" w:hAnsi="微软雅黑" w:cs="宋体"/>
          <w:kern w:val="0"/>
          <w:szCs w:val="21"/>
        </w:rPr>
        <w:t>A</w:t>
      </w:r>
      <w:r w:rsidRPr="00AB7038">
        <w:rPr>
          <w:rFonts w:ascii="微软雅黑" w:eastAsia="微软雅黑" w:hAnsi="微软雅黑" w:cs="宋体" w:hint="eastAsia"/>
          <w:kern w:val="0"/>
          <w:szCs w:val="21"/>
        </w:rPr>
        <w:t>行动转化；</w:t>
      </w:r>
    </w:p>
    <w:p w14:paraId="06EDA9CE" w14:textId="77777777" w:rsidR="004C766D" w:rsidRPr="00AB7038" w:rsidRDefault="004C766D" w:rsidP="00AB7038">
      <w:pPr>
        <w:pStyle w:val="ab"/>
        <w:spacing w:before="100" w:beforeAutospacing="1" w:after="100" w:afterAutospacing="1"/>
        <w:ind w:firstLineChars="0" w:firstLine="0"/>
        <w:textAlignment w:val="baseline"/>
        <w:rPr>
          <w:rFonts w:ascii="微软雅黑" w:eastAsia="微软雅黑" w:hAnsi="微软雅黑" w:cs="宋体"/>
          <w:kern w:val="0"/>
          <w:szCs w:val="21"/>
        </w:rPr>
      </w:pPr>
      <w:r w:rsidRPr="00AB7038">
        <w:rPr>
          <w:rFonts w:ascii="微软雅黑" w:eastAsia="微软雅黑" w:hAnsi="微软雅黑" w:cs="宋体"/>
          <w:b/>
          <w:kern w:val="0"/>
          <w:szCs w:val="21"/>
        </w:rPr>
        <w:t>在沟通效率上</w:t>
      </w:r>
      <w:r w:rsidRPr="00AB7038">
        <w:rPr>
          <w:rFonts w:ascii="微软雅黑" w:eastAsia="微软雅黑" w:hAnsi="微软雅黑" w:cs="宋体" w:hint="eastAsia"/>
          <w:kern w:val="0"/>
          <w:szCs w:val="21"/>
        </w:rPr>
        <w:t>：</w:t>
      </w:r>
      <w:r w:rsidRPr="00AB7038">
        <w:rPr>
          <w:rFonts w:ascii="微软雅黑" w:eastAsia="微软雅黑" w:hAnsi="微软雅黑" w:cs="宋体"/>
          <w:kern w:val="0"/>
          <w:szCs w:val="21"/>
        </w:rPr>
        <w:t>承担着消费者分层筛选的角色，从而在淘内外的联动中实现双向赋能</w:t>
      </w:r>
      <w:r w:rsidRPr="00AB7038">
        <w:rPr>
          <w:rFonts w:ascii="微软雅黑" w:eastAsia="微软雅黑" w:hAnsi="微软雅黑" w:cs="宋体" w:hint="eastAsia"/>
          <w:kern w:val="0"/>
          <w:szCs w:val="21"/>
        </w:rPr>
        <w:t>；</w:t>
      </w:r>
    </w:p>
    <w:p w14:paraId="6697E879" w14:textId="77777777" w:rsidR="004C766D" w:rsidRPr="00AB7038" w:rsidRDefault="004C766D" w:rsidP="00AB7038">
      <w:pPr>
        <w:pStyle w:val="ab"/>
        <w:spacing w:before="100" w:beforeAutospacing="1" w:after="100" w:afterAutospacing="1"/>
        <w:ind w:firstLineChars="0" w:firstLine="0"/>
        <w:textAlignment w:val="baseline"/>
        <w:rPr>
          <w:rFonts w:ascii="微软雅黑" w:eastAsia="微软雅黑" w:hAnsi="微软雅黑" w:cs="宋体"/>
          <w:kern w:val="0"/>
          <w:szCs w:val="21"/>
        </w:rPr>
      </w:pPr>
      <w:r w:rsidRPr="00AB7038">
        <w:rPr>
          <w:rFonts w:ascii="微软雅黑" w:eastAsia="微软雅黑" w:hAnsi="微软雅黑" w:cs="宋体" w:hint="eastAsia"/>
          <w:b/>
          <w:kern w:val="0"/>
          <w:szCs w:val="21"/>
        </w:rPr>
        <w:t>在人群策略上</w:t>
      </w:r>
      <w:r w:rsidRPr="00AB7038">
        <w:rPr>
          <w:rFonts w:ascii="微软雅黑" w:eastAsia="微软雅黑" w:hAnsi="微软雅黑" w:cs="宋体" w:hint="eastAsia"/>
          <w:kern w:val="0"/>
          <w:szCs w:val="21"/>
        </w:rPr>
        <w:t>：</w:t>
      </w:r>
      <w:r w:rsidRPr="00AB7038">
        <w:rPr>
          <w:rFonts w:ascii="微软雅黑" w:eastAsia="微软雅黑" w:hAnsi="微软雅黑" w:cs="宋体"/>
          <w:kern w:val="0"/>
          <w:szCs w:val="21"/>
        </w:rPr>
        <w:t>借助阿里全域媒体人群序列化、素材序列化，将投放进行多维细分，并在投放过程</w:t>
      </w:r>
      <w:r w:rsidRPr="00AB7038">
        <w:rPr>
          <w:rFonts w:ascii="微软雅黑" w:eastAsia="微软雅黑" w:hAnsi="微软雅黑" w:cs="宋体"/>
          <w:kern w:val="0"/>
          <w:szCs w:val="21"/>
        </w:rPr>
        <w:lastRenderedPageBreak/>
        <w:t>中实时优化，</w:t>
      </w:r>
      <w:r w:rsidRPr="00AB7038">
        <w:rPr>
          <w:rFonts w:ascii="微软雅黑" w:eastAsia="微软雅黑" w:hAnsi="微软雅黑" w:cs="宋体" w:hint="eastAsia"/>
          <w:kern w:val="0"/>
          <w:szCs w:val="21"/>
        </w:rPr>
        <w:t>在不同阶段采用详细的分层策略有针对性沟通，</w:t>
      </w:r>
      <w:r w:rsidRPr="00AB7038">
        <w:rPr>
          <w:rFonts w:ascii="微软雅黑" w:eastAsia="微软雅黑" w:hAnsi="微软雅黑" w:cs="宋体"/>
          <w:kern w:val="0"/>
          <w:szCs w:val="21"/>
        </w:rPr>
        <w:t>帮助OPPO在淘外高效拉动转化</w:t>
      </w:r>
      <w:r w:rsidRPr="00AB7038">
        <w:rPr>
          <w:rFonts w:ascii="微软雅黑" w:eastAsia="微软雅黑" w:hAnsi="微软雅黑" w:cs="宋体" w:hint="eastAsia"/>
          <w:kern w:val="0"/>
          <w:szCs w:val="21"/>
        </w:rPr>
        <w:t>；</w:t>
      </w:r>
    </w:p>
    <w:p w14:paraId="1A458818" w14:textId="77777777" w:rsidR="004C766D" w:rsidRPr="00AB7038" w:rsidRDefault="004C766D" w:rsidP="00AB7038">
      <w:pPr>
        <w:spacing w:before="100" w:beforeAutospacing="1" w:after="100" w:afterAutospacing="1"/>
        <w:textAlignment w:val="baseline"/>
        <w:rPr>
          <w:rFonts w:ascii="微软雅黑" w:eastAsia="微软雅黑" w:hAnsi="微软雅黑"/>
          <w:b/>
          <w:sz w:val="21"/>
          <w:szCs w:val="21"/>
        </w:rPr>
      </w:pPr>
      <w:r w:rsidRPr="00AB7038">
        <w:rPr>
          <w:rFonts w:ascii="微软雅黑" w:eastAsia="微软雅黑" w:hAnsi="微软雅黑" w:hint="eastAsia"/>
          <w:b/>
          <w:sz w:val="21"/>
          <w:szCs w:val="21"/>
        </w:rPr>
        <w:t>最终实现品牌目标：ctr与消费者沉淀双目标达成。</w:t>
      </w:r>
    </w:p>
    <w:p w14:paraId="3751F760" w14:textId="5EF5E455" w:rsidR="000631F9" w:rsidRPr="002C2690" w:rsidRDefault="000631F9" w:rsidP="004C766D">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D1EE97F" w14:textId="53CEEFB2" w:rsidR="005F5C93" w:rsidRDefault="004C766D" w:rsidP="007270CB">
      <w:pPr>
        <w:spacing w:before="100" w:beforeAutospacing="1" w:after="100" w:afterAutospacing="1"/>
        <w:textAlignment w:val="baseline"/>
        <w:rPr>
          <w:rFonts w:ascii="微软雅黑" w:eastAsia="微软雅黑" w:hAnsi="微软雅黑"/>
          <w:color w:val="000000"/>
          <w:sz w:val="21"/>
          <w:szCs w:val="21"/>
        </w:rPr>
      </w:pPr>
      <w:r>
        <w:rPr>
          <w:rFonts w:ascii="微软雅黑" w:eastAsia="微软雅黑" w:hAnsi="微软雅黑"/>
          <w:color w:val="000000"/>
          <w:sz w:val="21"/>
          <w:szCs w:val="21"/>
        </w:rPr>
        <w:t>CTR</w:t>
      </w:r>
      <w:r>
        <w:rPr>
          <w:rFonts w:ascii="微软雅黑" w:eastAsia="微软雅黑" w:hAnsi="微软雅黑" w:hint="eastAsia"/>
          <w:color w:val="000000"/>
          <w:sz w:val="21"/>
          <w:szCs w:val="21"/>
        </w:rPr>
        <w:t>转化</w:t>
      </w:r>
      <w:r w:rsidR="00607F37" w:rsidRPr="00607F37">
        <w:rPr>
          <w:rFonts w:ascii="微软雅黑" w:eastAsia="微软雅黑" w:hAnsi="微软雅黑" w:hint="eastAsia"/>
          <w:color w:val="000000"/>
          <w:sz w:val="21"/>
          <w:szCs w:val="21"/>
        </w:rPr>
        <w:t>。</w:t>
      </w:r>
    </w:p>
    <w:p w14:paraId="272E60B2" w14:textId="5985E46B" w:rsidR="00EC1132" w:rsidRPr="005F5C93" w:rsidRDefault="004C766D" w:rsidP="00727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0D40C8C8" wp14:editId="6FDBC066">
            <wp:extent cx="2780145" cy="2085109"/>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6330" cy="2089748"/>
                    </a:xfrm>
                    <a:prstGeom prst="rect">
                      <a:avLst/>
                    </a:prstGeom>
                    <a:noFill/>
                    <a:ln>
                      <a:noFill/>
                    </a:ln>
                  </pic:spPr>
                </pic:pic>
              </a:graphicData>
            </a:graphic>
          </wp:inline>
        </w:drawing>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6E0A88B0" w14:textId="77777777" w:rsidR="004C766D" w:rsidRPr="00AB7038" w:rsidRDefault="004C766D" w:rsidP="00AB7038">
      <w:pPr>
        <w:pStyle w:val="ac"/>
        <w:rPr>
          <w:rFonts w:ascii="微软雅黑" w:eastAsia="微软雅黑" w:hAnsi="微软雅黑" w:cs="宋体"/>
          <w:sz w:val="21"/>
          <w:szCs w:val="21"/>
        </w:rPr>
      </w:pPr>
      <w:r w:rsidRPr="00AB7038">
        <w:rPr>
          <w:rFonts w:ascii="微软雅黑" w:eastAsia="微软雅黑" w:hAnsi="微软雅黑" w:cs="宋体"/>
          <w:sz w:val="21"/>
          <w:szCs w:val="21"/>
        </w:rPr>
        <w:t>营销策略上，借助阿里全域媒体人群序列化、素材序列化，将投放进行多维细分，并在投放过程中实时优化，帮助OPPO在淘外高效拉动转化。</w:t>
      </w:r>
    </w:p>
    <w:p w14:paraId="14657A3D" w14:textId="77777777" w:rsidR="00AB7038" w:rsidRDefault="004C766D" w:rsidP="00AB7038">
      <w:pPr>
        <w:pStyle w:val="ac"/>
        <w:rPr>
          <w:rFonts w:ascii="微软雅黑" w:eastAsia="微软雅黑" w:hAnsi="微软雅黑" w:cs="宋体"/>
          <w:sz w:val="21"/>
          <w:szCs w:val="21"/>
        </w:rPr>
      </w:pPr>
      <w:r w:rsidRPr="00AB7038">
        <w:rPr>
          <w:rFonts w:ascii="微软雅黑" w:eastAsia="微软雅黑" w:hAnsi="微软雅黑" w:cs="宋体"/>
          <w:sz w:val="21"/>
          <w:szCs w:val="21"/>
        </w:rPr>
        <w:t>其中的人群序列化对与品牌不同互动阶段的人群做了详细的分层并采取针对性沟通策略，如对沉睡用户的策略渠道唤醒，对潜在用户的多维手段触达</w:t>
      </w:r>
      <w:r w:rsidRPr="00AB7038">
        <w:rPr>
          <w:rFonts w:ascii="微软雅黑" w:eastAsia="微软雅黑" w:hAnsi="微软雅黑" w:cs="宋体" w:hint="eastAsia"/>
          <w:sz w:val="21"/>
          <w:szCs w:val="21"/>
        </w:rPr>
        <w:t>；</w:t>
      </w:r>
    </w:p>
    <w:p w14:paraId="71814A89" w14:textId="2E949002" w:rsidR="004C766D" w:rsidRPr="00AB7038" w:rsidRDefault="004C766D" w:rsidP="00AB7038">
      <w:pPr>
        <w:pStyle w:val="ac"/>
        <w:rPr>
          <w:rFonts w:ascii="微软雅黑" w:eastAsia="微软雅黑" w:hAnsi="微软雅黑" w:cs="宋体"/>
          <w:sz w:val="21"/>
          <w:szCs w:val="21"/>
        </w:rPr>
      </w:pPr>
      <w:r w:rsidRPr="00AB7038">
        <w:rPr>
          <w:rFonts w:ascii="微软雅黑" w:eastAsia="微软雅黑" w:hAnsi="微软雅黑" w:cs="宋体" w:hint="eastAsia"/>
          <w:sz w:val="21"/>
          <w:szCs w:val="21"/>
        </w:rPr>
        <w:t>超级汇川作为阿里序列化营销中的资讯媒体，在营销场景上承接消费者关系加深、在沟通效率上筛选消费者分层，通过在淘内外联动中进行双向赋能：</w:t>
      </w:r>
    </w:p>
    <w:p w14:paraId="081555F8" w14:textId="17B8989D" w:rsidR="004C766D" w:rsidRPr="00B1690F" w:rsidRDefault="004C766D" w:rsidP="00AB7038">
      <w:pPr>
        <w:pStyle w:val="ac"/>
        <w:rPr>
          <w:rFonts w:ascii="微软雅黑" w:eastAsia="微软雅黑" w:hAnsi="微软雅黑" w:cs="宋体"/>
          <w:b/>
          <w:sz w:val="21"/>
          <w:szCs w:val="21"/>
        </w:rPr>
      </w:pPr>
      <w:r w:rsidRPr="00B1690F">
        <w:rPr>
          <w:rFonts w:ascii="微软雅黑" w:eastAsia="微软雅黑" w:hAnsi="微软雅黑" w:cs="宋体" w:hint="eastAsia"/>
          <w:b/>
          <w:sz w:val="21"/>
          <w:szCs w:val="21"/>
        </w:rPr>
        <w:t>1</w:t>
      </w:r>
      <w:r w:rsidR="00AB7038" w:rsidRPr="00B1690F">
        <w:rPr>
          <w:rFonts w:ascii="微软雅黑" w:eastAsia="微软雅黑" w:hAnsi="微软雅黑" w:cs="宋体" w:hint="eastAsia"/>
          <w:b/>
          <w:sz w:val="21"/>
          <w:szCs w:val="21"/>
        </w:rPr>
        <w:t>、</w:t>
      </w:r>
      <w:r w:rsidRPr="00B1690F">
        <w:rPr>
          <w:rFonts w:ascii="微软雅黑" w:eastAsia="微软雅黑" w:hAnsi="微软雅黑" w:cs="宋体" w:hint="eastAsia"/>
          <w:b/>
          <w:sz w:val="21"/>
          <w:szCs w:val="21"/>
        </w:rPr>
        <w:t>人群序列化：</w:t>
      </w:r>
    </w:p>
    <w:p w14:paraId="358FC9A9" w14:textId="4C3CA9AF" w:rsidR="004C766D" w:rsidRPr="00AB7038" w:rsidRDefault="004C766D" w:rsidP="00AB7038">
      <w:pPr>
        <w:pStyle w:val="ac"/>
        <w:rPr>
          <w:rFonts w:ascii="微软雅黑" w:eastAsia="微软雅黑" w:hAnsi="微软雅黑" w:cs="宋体"/>
          <w:sz w:val="21"/>
          <w:szCs w:val="21"/>
        </w:rPr>
      </w:pPr>
      <w:r w:rsidRPr="00AB7038">
        <w:rPr>
          <w:rFonts w:ascii="微软雅黑" w:eastAsia="微软雅黑" w:hAnsi="微软雅黑" w:cs="宋体"/>
          <w:sz w:val="21"/>
          <w:szCs w:val="21"/>
        </w:rPr>
        <w:t>A</w:t>
      </w:r>
      <w:r w:rsidR="00B1690F">
        <w:rPr>
          <w:rFonts w:ascii="微软雅黑" w:eastAsia="微软雅黑" w:hAnsi="微软雅黑" w:cs="宋体" w:hint="eastAsia"/>
          <w:sz w:val="21"/>
          <w:szCs w:val="21"/>
        </w:rPr>
        <w:t>、</w:t>
      </w:r>
      <w:r w:rsidRPr="00AB7038">
        <w:rPr>
          <w:rFonts w:ascii="微软雅黑" w:eastAsia="微软雅黑" w:hAnsi="微软雅黑" w:cs="宋体" w:hint="eastAsia"/>
          <w:sz w:val="21"/>
          <w:szCs w:val="21"/>
        </w:rPr>
        <w:t>拉新：将阿里系已曝光人群拉到UC资讯场进行品牌认知教育（建立），同时平台营销人群回流淘内进行二次营销；</w:t>
      </w:r>
    </w:p>
    <w:p w14:paraId="68382592" w14:textId="0B22D088" w:rsidR="004C766D" w:rsidRPr="00AB7038" w:rsidRDefault="004C766D" w:rsidP="00AB7038">
      <w:pPr>
        <w:pStyle w:val="ac"/>
        <w:rPr>
          <w:rFonts w:ascii="微软雅黑" w:eastAsia="微软雅黑" w:hAnsi="微软雅黑" w:cs="宋体"/>
          <w:sz w:val="21"/>
          <w:szCs w:val="21"/>
        </w:rPr>
      </w:pPr>
      <w:r w:rsidRPr="00AB7038">
        <w:rPr>
          <w:rFonts w:ascii="微软雅黑" w:eastAsia="微软雅黑" w:hAnsi="微软雅黑" w:cs="宋体"/>
          <w:sz w:val="21"/>
          <w:szCs w:val="21"/>
        </w:rPr>
        <w:t>B</w:t>
      </w:r>
      <w:r w:rsidR="00B1690F">
        <w:rPr>
          <w:rFonts w:ascii="微软雅黑" w:eastAsia="微软雅黑" w:hAnsi="微软雅黑" w:cs="宋体" w:hint="eastAsia"/>
          <w:sz w:val="21"/>
          <w:szCs w:val="21"/>
        </w:rPr>
        <w:t>、</w:t>
      </w:r>
      <w:r w:rsidRPr="00AB7038">
        <w:rPr>
          <w:rFonts w:ascii="微软雅黑" w:eastAsia="微软雅黑" w:hAnsi="微软雅黑" w:cs="宋体" w:hint="eastAsia"/>
          <w:sz w:val="21"/>
          <w:szCs w:val="21"/>
        </w:rPr>
        <w:t>拉活：对于淘内沉睡及潜客人群，在出淘的超级汇川广告平台场景进行唤醒</w:t>
      </w:r>
      <w:r w:rsidR="00B1690F">
        <w:rPr>
          <w:rFonts w:ascii="微软雅黑" w:eastAsia="微软雅黑" w:hAnsi="微软雅黑" w:cs="宋体" w:hint="eastAsia"/>
          <w:sz w:val="21"/>
          <w:szCs w:val="21"/>
        </w:rPr>
        <w:t>。</w:t>
      </w:r>
    </w:p>
    <w:p w14:paraId="4D062F53" w14:textId="29269097" w:rsidR="004C766D" w:rsidRPr="00B1690F" w:rsidRDefault="004C766D" w:rsidP="00AB7038">
      <w:pPr>
        <w:pStyle w:val="ac"/>
        <w:rPr>
          <w:rFonts w:ascii="微软雅黑" w:eastAsia="微软雅黑" w:hAnsi="微软雅黑" w:cs="宋体"/>
          <w:b/>
          <w:sz w:val="21"/>
          <w:szCs w:val="21"/>
        </w:rPr>
      </w:pPr>
      <w:r w:rsidRPr="00B1690F">
        <w:rPr>
          <w:rFonts w:ascii="微软雅黑" w:eastAsia="微软雅黑" w:hAnsi="微软雅黑" w:cs="宋体" w:hint="eastAsia"/>
          <w:b/>
          <w:sz w:val="21"/>
          <w:szCs w:val="21"/>
        </w:rPr>
        <w:t>2</w:t>
      </w:r>
      <w:r w:rsidR="00AB7038" w:rsidRPr="00B1690F">
        <w:rPr>
          <w:rFonts w:ascii="微软雅黑" w:eastAsia="微软雅黑" w:hAnsi="微软雅黑" w:cs="宋体" w:hint="eastAsia"/>
          <w:b/>
          <w:sz w:val="21"/>
          <w:szCs w:val="21"/>
        </w:rPr>
        <w:t>、</w:t>
      </w:r>
      <w:r w:rsidRPr="00B1690F">
        <w:rPr>
          <w:rFonts w:ascii="微软雅黑" w:eastAsia="微软雅黑" w:hAnsi="微软雅黑" w:cs="宋体" w:hint="eastAsia"/>
          <w:b/>
          <w:sz w:val="21"/>
          <w:szCs w:val="21"/>
        </w:rPr>
        <w:t>素材序列化：</w:t>
      </w:r>
    </w:p>
    <w:p w14:paraId="599D22EF" w14:textId="77777777" w:rsidR="00B1690F" w:rsidRDefault="004C766D" w:rsidP="00AB7038">
      <w:pPr>
        <w:pStyle w:val="ac"/>
        <w:rPr>
          <w:rFonts w:ascii="微软雅黑" w:eastAsia="微软雅黑" w:hAnsi="微软雅黑" w:cs="宋体"/>
          <w:sz w:val="21"/>
          <w:szCs w:val="21"/>
        </w:rPr>
      </w:pPr>
      <w:r w:rsidRPr="00AB7038">
        <w:rPr>
          <w:rFonts w:ascii="微软雅黑" w:eastAsia="微软雅黑" w:hAnsi="微软雅黑" w:cs="宋体"/>
          <w:sz w:val="21"/>
          <w:szCs w:val="21"/>
        </w:rPr>
        <w:t>A</w:t>
      </w:r>
      <w:r w:rsidR="00B1690F">
        <w:rPr>
          <w:rFonts w:ascii="微软雅黑" w:eastAsia="微软雅黑" w:hAnsi="微软雅黑" w:cs="宋体" w:hint="eastAsia"/>
          <w:sz w:val="21"/>
          <w:szCs w:val="21"/>
        </w:rPr>
        <w:t>、</w:t>
      </w:r>
      <w:r w:rsidRPr="00AB7038">
        <w:rPr>
          <w:rFonts w:ascii="微软雅黑" w:eastAsia="微软雅黑" w:hAnsi="微软雅黑" w:cs="宋体" w:hint="eastAsia"/>
          <w:sz w:val="21"/>
          <w:szCs w:val="21"/>
        </w:rPr>
        <w:t>按营销节奏：针对发布、预热、首销、直播、大促等场景匹配不同卖点与消费者沟通；</w:t>
      </w:r>
    </w:p>
    <w:p w14:paraId="01526277" w14:textId="51A6BA29" w:rsidR="004C766D" w:rsidRPr="00AB7038" w:rsidRDefault="004C766D" w:rsidP="00AB7038">
      <w:pPr>
        <w:pStyle w:val="ac"/>
        <w:rPr>
          <w:rFonts w:ascii="微软雅黑" w:eastAsia="微软雅黑" w:hAnsi="微软雅黑" w:cs="宋体"/>
          <w:sz w:val="21"/>
          <w:szCs w:val="21"/>
        </w:rPr>
      </w:pPr>
      <w:r w:rsidRPr="00AB7038">
        <w:rPr>
          <w:rFonts w:ascii="微软雅黑" w:eastAsia="微软雅黑" w:hAnsi="微软雅黑" w:cs="宋体"/>
          <w:sz w:val="21"/>
          <w:szCs w:val="21"/>
        </w:rPr>
        <w:t>B</w:t>
      </w:r>
      <w:r w:rsidR="00B1690F">
        <w:rPr>
          <w:rFonts w:ascii="微软雅黑" w:eastAsia="微软雅黑" w:hAnsi="微软雅黑" w:cs="宋体" w:hint="eastAsia"/>
          <w:sz w:val="21"/>
          <w:szCs w:val="21"/>
        </w:rPr>
        <w:t>、</w:t>
      </w:r>
      <w:r w:rsidRPr="00AB7038">
        <w:rPr>
          <w:rFonts w:ascii="微软雅黑" w:eastAsia="微软雅黑" w:hAnsi="微软雅黑" w:cs="宋体" w:hint="eastAsia"/>
          <w:sz w:val="21"/>
          <w:szCs w:val="21"/>
        </w:rPr>
        <w:t>按场景节奏：针对淘外平台场景素材洞察用户偏好，总结”自研影像“、”超级闪充“等素材宣发点用于淘内场景素材营销</w:t>
      </w:r>
      <w:r w:rsidR="00B1690F">
        <w:rPr>
          <w:rFonts w:ascii="微软雅黑" w:eastAsia="微软雅黑" w:hAnsi="微软雅黑" w:cs="宋体" w:hint="eastAsia"/>
          <w:sz w:val="21"/>
          <w:szCs w:val="21"/>
        </w:rPr>
        <w:t>。</w:t>
      </w:r>
    </w:p>
    <w:p w14:paraId="060AF75D" w14:textId="133E5A0B" w:rsidR="00EC1132" w:rsidRPr="00761321" w:rsidRDefault="004C766D" w:rsidP="00761321">
      <w:pPr>
        <w:pStyle w:val="ac"/>
        <w:rPr>
          <w:rFonts w:ascii="微软雅黑" w:eastAsia="微软雅黑" w:hAnsi="微软雅黑" w:cs="宋体"/>
          <w:sz w:val="21"/>
          <w:szCs w:val="21"/>
        </w:rPr>
      </w:pPr>
      <w:r w:rsidRPr="00B1690F">
        <w:rPr>
          <w:rFonts w:ascii="微软雅黑" w:eastAsia="微软雅黑" w:hAnsi="微软雅黑" w:cs="宋体" w:hint="eastAsia"/>
          <w:b/>
          <w:sz w:val="21"/>
          <w:szCs w:val="21"/>
        </w:rPr>
        <w:lastRenderedPageBreak/>
        <w:t>3</w:t>
      </w:r>
      <w:r w:rsidR="00AB7038" w:rsidRPr="00B1690F">
        <w:rPr>
          <w:rFonts w:ascii="微软雅黑" w:eastAsia="微软雅黑" w:hAnsi="微软雅黑" w:cs="宋体" w:hint="eastAsia"/>
          <w:b/>
          <w:sz w:val="21"/>
          <w:szCs w:val="21"/>
        </w:rPr>
        <w:t>、</w:t>
      </w:r>
      <w:r w:rsidRPr="00B1690F">
        <w:rPr>
          <w:rFonts w:ascii="微软雅黑" w:eastAsia="微软雅黑" w:hAnsi="微软雅黑" w:cs="宋体" w:hint="eastAsia"/>
          <w:b/>
          <w:sz w:val="21"/>
          <w:szCs w:val="21"/>
        </w:rPr>
        <w:t>布局创新赛道</w:t>
      </w:r>
      <w:r w:rsidRPr="00AB7038">
        <w:rPr>
          <w:rFonts w:ascii="微软雅黑" w:eastAsia="微软雅黑" w:hAnsi="微软雅黑" w:cs="宋体" w:hint="eastAsia"/>
          <w:sz w:val="21"/>
          <w:szCs w:val="21"/>
        </w:rPr>
        <w:t>：借助直播的传播、社交属性优势拉近消费者距离，通过资讯场景进行站外宣发</w:t>
      </w:r>
      <w:r w:rsidR="00761321">
        <w:rPr>
          <w:rFonts w:ascii="微软雅黑" w:eastAsia="微软雅黑" w:hAnsi="微软雅黑" w:cs="宋体" w:hint="eastAsia"/>
          <w:sz w:val="21"/>
          <w:szCs w:val="21"/>
        </w:rPr>
        <w:t>，</w:t>
      </w:r>
      <w:r w:rsidRPr="00AB7038">
        <w:rPr>
          <w:rFonts w:ascii="微软雅黑" w:eastAsia="微软雅黑" w:hAnsi="微软雅黑"/>
          <w:sz w:val="21"/>
          <w:szCs w:val="21"/>
        </w:rPr>
        <w:t>最终</w:t>
      </w:r>
      <w:r w:rsidRPr="00AB7038">
        <w:rPr>
          <w:rFonts w:ascii="微软雅黑" w:eastAsia="微软雅黑" w:hAnsi="微软雅黑" w:hint="eastAsia"/>
          <w:sz w:val="21"/>
          <w:szCs w:val="21"/>
        </w:rPr>
        <w:t>在C</w:t>
      </w:r>
      <w:r w:rsidRPr="00AB7038">
        <w:rPr>
          <w:rFonts w:ascii="微软雅黑" w:eastAsia="微软雅黑" w:hAnsi="微软雅黑"/>
          <w:sz w:val="21"/>
          <w:szCs w:val="21"/>
        </w:rPr>
        <w:t>TR</w:t>
      </w:r>
      <w:r w:rsidRPr="00AB7038">
        <w:rPr>
          <w:rFonts w:ascii="微软雅黑" w:eastAsia="微软雅黑" w:hAnsi="微软雅黑" w:hint="eastAsia"/>
          <w:sz w:val="21"/>
          <w:szCs w:val="21"/>
        </w:rPr>
        <w:t>与消费者沉淀上均取得显著效果。</w:t>
      </w:r>
    </w:p>
    <w:p w14:paraId="1C78C2D5" w14:textId="4AC96E03" w:rsidR="004C766D" w:rsidRDefault="004C766D" w:rsidP="004C766D">
      <w:pPr>
        <w:spacing w:before="100" w:beforeAutospacing="1" w:after="100" w:afterAutospacing="1"/>
        <w:textAlignment w:val="baseline"/>
        <w:rPr>
          <w:rFonts w:ascii="微软雅黑" w:eastAsia="微软雅黑" w:hAnsi="微软雅黑"/>
          <w:color w:val="0D0D0D" w:themeColor="text1" w:themeTint="F2"/>
          <w:sz w:val="21"/>
          <w:szCs w:val="21"/>
        </w:rPr>
      </w:pPr>
      <w:r>
        <w:rPr>
          <w:noProof/>
        </w:rPr>
        <w:drawing>
          <wp:inline distT="0" distB="0" distL="0" distR="0" wp14:anchorId="1890A7B6" wp14:editId="036CED37">
            <wp:extent cx="1727200" cy="30705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5328" cy="3085029"/>
                    </a:xfrm>
                    <a:prstGeom prst="rect">
                      <a:avLst/>
                    </a:prstGeom>
                    <a:noFill/>
                    <a:ln>
                      <a:noFill/>
                    </a:ln>
                  </pic:spPr>
                </pic:pic>
              </a:graphicData>
            </a:graphic>
          </wp:inline>
        </w:drawing>
      </w:r>
    </w:p>
    <w:p w14:paraId="0413AEA7" w14:textId="2B38CAB3" w:rsidR="00B5241D" w:rsidRPr="002C2690" w:rsidRDefault="000631F9" w:rsidP="00EC113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54B2F99A" w14:textId="7E4CEF51"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在执行上，超级汇川广告平台根据OPPO</w:t>
      </w:r>
      <w:r w:rsidRPr="00B1690F">
        <w:rPr>
          <w:rFonts w:ascii="微软雅黑" w:eastAsia="微软雅黑" w:hAnsi="微软雅黑" w:cs="宋体"/>
          <w:sz w:val="21"/>
          <w:szCs w:val="21"/>
        </w:rPr>
        <w:t> Reno8系列手机</w:t>
      </w:r>
      <w:r w:rsidRPr="00B1690F">
        <w:rPr>
          <w:rFonts w:ascii="微软雅黑" w:eastAsia="微软雅黑" w:hAnsi="微软雅黑" w:cs="宋体" w:hint="eastAsia"/>
          <w:sz w:val="21"/>
          <w:szCs w:val="21"/>
        </w:rPr>
        <w:t>在发布前蓄水期、发布期、首销期与平销期四大阶段进行人群划分、策略打造与资源产品搭配，将品牌声量、传播效果与行动转化全面结合，实现品牌目标。</w:t>
      </w:r>
    </w:p>
    <w:p w14:paraId="711E6FD2" w14:textId="443A6FC5"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b/>
          <w:sz w:val="21"/>
          <w:szCs w:val="21"/>
        </w:rPr>
        <w:t>1</w:t>
      </w:r>
      <w:r w:rsidR="00B1690F" w:rsidRPr="00B1690F">
        <w:rPr>
          <w:rFonts w:ascii="微软雅黑" w:eastAsia="微软雅黑" w:hAnsi="微软雅黑" w:cs="宋体" w:hint="eastAsia"/>
          <w:b/>
          <w:sz w:val="21"/>
          <w:szCs w:val="21"/>
        </w:rPr>
        <w:t>、</w:t>
      </w:r>
      <w:r w:rsidRPr="00B1690F">
        <w:rPr>
          <w:rFonts w:ascii="微软雅黑" w:eastAsia="微软雅黑" w:hAnsi="微软雅黑" w:cs="宋体" w:hint="eastAsia"/>
          <w:b/>
          <w:sz w:val="21"/>
          <w:szCs w:val="21"/>
        </w:rPr>
        <w:t>前期蓄水策略与传播执行</w:t>
      </w:r>
      <w:r w:rsidRPr="00B1690F">
        <w:rPr>
          <w:rFonts w:ascii="微软雅黑" w:eastAsia="微软雅黑" w:hAnsi="微软雅黑" w:cs="宋体" w:hint="eastAsia"/>
          <w:sz w:val="21"/>
          <w:szCs w:val="21"/>
        </w:rPr>
        <w:t>：</w:t>
      </w:r>
    </w:p>
    <w:p w14:paraId="37B4B431" w14:textId="49CB38D3"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A</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蓄水期目标：种草出淘TA、加深消费者关系；</w:t>
      </w:r>
    </w:p>
    <w:p w14:paraId="2A717AAB" w14:textId="55A21C13"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B</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蓄水期人群策略：认知树立-淘内意向意向分层，分卖点软文触达；情怀背书-软文突出品牌调性及文化；</w:t>
      </w:r>
    </w:p>
    <w:p w14:paraId="4AD43600" w14:textId="22198D6E"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C</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蓄水期传播执行策略：软文类资源联动—大鱼推广plus软文种草+电商卡片软文收割</w:t>
      </w:r>
      <w:r w:rsidR="00B1690F">
        <w:rPr>
          <w:rFonts w:ascii="微软雅黑" w:eastAsia="微软雅黑" w:hAnsi="微软雅黑" w:cs="宋体" w:hint="eastAsia"/>
          <w:sz w:val="21"/>
          <w:szCs w:val="21"/>
        </w:rPr>
        <w:t>。</w:t>
      </w:r>
    </w:p>
    <w:p w14:paraId="4A287ECF" w14:textId="24EAC809"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b/>
          <w:sz w:val="21"/>
          <w:szCs w:val="21"/>
        </w:rPr>
        <w:t>2</w:t>
      </w:r>
      <w:r w:rsidR="00B1690F" w:rsidRPr="00B1690F">
        <w:rPr>
          <w:rFonts w:ascii="微软雅黑" w:eastAsia="微软雅黑" w:hAnsi="微软雅黑" w:cs="宋体" w:hint="eastAsia"/>
          <w:b/>
          <w:sz w:val="21"/>
          <w:szCs w:val="21"/>
        </w:rPr>
        <w:t>、</w:t>
      </w:r>
      <w:r w:rsidRPr="00B1690F">
        <w:rPr>
          <w:rFonts w:ascii="微软雅黑" w:eastAsia="微软雅黑" w:hAnsi="微软雅黑" w:cs="宋体" w:hint="eastAsia"/>
          <w:b/>
          <w:sz w:val="21"/>
          <w:szCs w:val="21"/>
        </w:rPr>
        <w:t>发布期策略与传播执行</w:t>
      </w:r>
      <w:r w:rsidRPr="00B1690F">
        <w:rPr>
          <w:rFonts w:ascii="微软雅黑" w:eastAsia="微软雅黑" w:hAnsi="微软雅黑" w:cs="宋体" w:hint="eastAsia"/>
          <w:sz w:val="21"/>
          <w:szCs w:val="21"/>
        </w:rPr>
        <w:t>：</w:t>
      </w:r>
    </w:p>
    <w:p w14:paraId="0E9598C1" w14:textId="1227113D"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A</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发布期目标：提升新品声量、吸引TA兴趣；</w:t>
      </w:r>
    </w:p>
    <w:p w14:paraId="1C11D784" w14:textId="788DC37E"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B</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发布期人群策略：提客单-高客单换机意向消费者；提新客-智能生态兴趣人群；提老客-历史 AI 流失人群、品类品牌意向用户；</w:t>
      </w:r>
    </w:p>
    <w:p w14:paraId="6A63E38A" w14:textId="3627AFE1"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C</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发布期传播执行策略：品牌联动资源传播—引导检索：开屏、搜索、恒星产品资源联动；引导阅读联动资源传播—开屏、信息流、店铺产品</w:t>
      </w:r>
      <w:r w:rsidR="00B1690F">
        <w:rPr>
          <w:rFonts w:ascii="微软雅黑" w:eastAsia="微软雅黑" w:hAnsi="微软雅黑" w:cs="宋体" w:hint="eastAsia"/>
          <w:sz w:val="21"/>
          <w:szCs w:val="21"/>
        </w:rPr>
        <w:t>。</w:t>
      </w:r>
    </w:p>
    <w:p w14:paraId="151D1959" w14:textId="44263383"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b/>
          <w:sz w:val="21"/>
          <w:szCs w:val="21"/>
        </w:rPr>
        <w:lastRenderedPageBreak/>
        <w:t>3</w:t>
      </w:r>
      <w:r w:rsidR="00B1690F" w:rsidRPr="00B1690F">
        <w:rPr>
          <w:rFonts w:ascii="微软雅黑" w:eastAsia="微软雅黑" w:hAnsi="微软雅黑" w:cs="宋体" w:hint="eastAsia"/>
          <w:b/>
          <w:sz w:val="21"/>
          <w:szCs w:val="21"/>
        </w:rPr>
        <w:t>、</w:t>
      </w:r>
      <w:r w:rsidRPr="00B1690F">
        <w:rPr>
          <w:rFonts w:ascii="微软雅黑" w:eastAsia="微软雅黑" w:hAnsi="微软雅黑" w:cs="宋体" w:hint="eastAsia"/>
          <w:b/>
          <w:sz w:val="21"/>
          <w:szCs w:val="21"/>
        </w:rPr>
        <w:t>首销期策略与传播执行</w:t>
      </w:r>
      <w:r w:rsidRPr="00B1690F">
        <w:rPr>
          <w:rFonts w:ascii="微软雅黑" w:eastAsia="微软雅黑" w:hAnsi="微软雅黑" w:cs="宋体" w:hint="eastAsia"/>
          <w:sz w:val="21"/>
          <w:szCs w:val="21"/>
        </w:rPr>
        <w:t>：</w:t>
      </w:r>
    </w:p>
    <w:p w14:paraId="18623A9C" w14:textId="08AEE035"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A</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首销期目标：承接前序人群、引导TA购买；</w:t>
      </w:r>
    </w:p>
    <w:p w14:paraId="0B6F2CE5" w14:textId="1C1C549F" w:rsidR="00167147" w:rsidRPr="00B1690F" w:rsidRDefault="00167147" w:rsidP="00B1690F">
      <w:pPr>
        <w:pStyle w:val="ac"/>
        <w:spacing w:after="0" w:afterAutospacing="0"/>
        <w:rPr>
          <w:rFonts w:ascii="微软雅黑" w:eastAsia="微软雅黑" w:hAnsi="微软雅黑" w:cs="宋体"/>
          <w:sz w:val="21"/>
          <w:szCs w:val="21"/>
        </w:rPr>
      </w:pPr>
      <w:r w:rsidRPr="00B1690F">
        <w:rPr>
          <w:rFonts w:ascii="微软雅黑" w:eastAsia="微软雅黑" w:hAnsi="微软雅黑" w:cs="宋体" w:hint="eastAsia"/>
          <w:sz w:val="21"/>
          <w:szCs w:val="21"/>
        </w:rPr>
        <w:t>B</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首销期人群策略：促行动</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向理性决策过渡：</w:t>
      </w:r>
    </w:p>
    <w:p w14:paraId="431A05D6" w14:textId="77777777" w:rsidR="00167147" w:rsidRPr="00B1690F" w:rsidRDefault="00167147" w:rsidP="00B1690F">
      <w:pPr>
        <w:pStyle w:val="ac"/>
        <w:spacing w:before="0" w:beforeAutospacing="0"/>
        <w:rPr>
          <w:rFonts w:ascii="微软雅黑" w:eastAsia="微软雅黑" w:hAnsi="微软雅黑" w:cs="宋体"/>
          <w:sz w:val="21"/>
          <w:szCs w:val="21"/>
        </w:rPr>
      </w:pPr>
      <w:r w:rsidRPr="00B1690F">
        <w:rPr>
          <w:rFonts w:ascii="微软雅黑" w:eastAsia="微软雅黑" w:hAnsi="微软雅黑" w:cs="宋体" w:hint="eastAsia"/>
          <w:sz w:val="21"/>
          <w:szCs w:val="21"/>
        </w:rPr>
        <w:t>-立意：产品力、金融政策；-场景：关注淘宝调端率、加购率；</w:t>
      </w:r>
    </w:p>
    <w:p w14:paraId="137827C3" w14:textId="6771A4C9"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C</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首销期传播执行策略：竞价类资源联动传播—天猫店铺-电商人群+电商模型（CID/一电）+电商样式+回流DB</w:t>
      </w:r>
      <w:r w:rsidR="00B1690F">
        <w:rPr>
          <w:rFonts w:ascii="微软雅黑" w:eastAsia="微软雅黑" w:hAnsi="微软雅黑" w:cs="宋体" w:hint="eastAsia"/>
          <w:sz w:val="21"/>
          <w:szCs w:val="21"/>
        </w:rPr>
        <w:t>。</w:t>
      </w:r>
    </w:p>
    <w:p w14:paraId="039A20C3" w14:textId="52EA87B2" w:rsidR="00167147" w:rsidRPr="00B1690F" w:rsidRDefault="00167147" w:rsidP="00B1690F">
      <w:pPr>
        <w:pStyle w:val="ac"/>
        <w:rPr>
          <w:rFonts w:ascii="微软雅黑" w:eastAsia="微软雅黑" w:hAnsi="微软雅黑" w:cs="宋体"/>
          <w:b/>
          <w:sz w:val="21"/>
          <w:szCs w:val="21"/>
        </w:rPr>
      </w:pPr>
      <w:r w:rsidRPr="00B1690F">
        <w:rPr>
          <w:rFonts w:ascii="微软雅黑" w:eastAsia="微软雅黑" w:hAnsi="微软雅黑" w:cs="宋体"/>
          <w:b/>
          <w:sz w:val="21"/>
          <w:szCs w:val="21"/>
        </w:rPr>
        <w:t>4</w:t>
      </w:r>
      <w:r w:rsidR="00B1690F">
        <w:rPr>
          <w:rFonts w:ascii="微软雅黑" w:eastAsia="微软雅黑" w:hAnsi="微软雅黑" w:cs="宋体" w:hint="eastAsia"/>
          <w:b/>
          <w:sz w:val="21"/>
          <w:szCs w:val="21"/>
        </w:rPr>
        <w:t>、</w:t>
      </w:r>
      <w:r w:rsidRPr="00B1690F">
        <w:rPr>
          <w:rFonts w:ascii="微软雅黑" w:eastAsia="微软雅黑" w:hAnsi="微软雅黑" w:cs="宋体" w:hint="eastAsia"/>
          <w:b/>
          <w:sz w:val="21"/>
          <w:szCs w:val="21"/>
        </w:rPr>
        <w:t>平销期策略与传播执行：</w:t>
      </w:r>
    </w:p>
    <w:p w14:paraId="4AE77FCD" w14:textId="4E0F6078"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A</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平销期目标：引导淘内检索、淘外持续拉新；</w:t>
      </w:r>
    </w:p>
    <w:p w14:paraId="2E1EC6B2" w14:textId="4B5486D8" w:rsidR="00167147" w:rsidRPr="00B1690F" w:rsidRDefault="00167147" w:rsidP="00B1690F">
      <w:pPr>
        <w:pStyle w:val="ac"/>
        <w:rPr>
          <w:rFonts w:ascii="微软雅黑" w:eastAsia="微软雅黑" w:hAnsi="微软雅黑" w:cs="宋体"/>
          <w:sz w:val="21"/>
          <w:szCs w:val="21"/>
        </w:rPr>
      </w:pPr>
      <w:r w:rsidRPr="00B1690F">
        <w:rPr>
          <w:rFonts w:ascii="微软雅黑" w:eastAsia="微软雅黑" w:hAnsi="微软雅黑" w:cs="宋体" w:hint="eastAsia"/>
          <w:sz w:val="21"/>
          <w:szCs w:val="21"/>
        </w:rPr>
        <w:t>B</w:t>
      </w:r>
      <w:r w:rsidR="00B1690F">
        <w:rPr>
          <w:rFonts w:ascii="微软雅黑" w:eastAsia="微软雅黑" w:hAnsi="微软雅黑" w:cs="宋体" w:hint="eastAsia"/>
          <w:sz w:val="21"/>
          <w:szCs w:val="21"/>
        </w:rPr>
        <w:t>、</w:t>
      </w:r>
      <w:r w:rsidRPr="00B1690F">
        <w:rPr>
          <w:rFonts w:ascii="微软雅黑" w:eastAsia="微软雅黑" w:hAnsi="微软雅黑" w:cs="宋体" w:hint="eastAsia"/>
          <w:sz w:val="21"/>
          <w:szCs w:val="21"/>
        </w:rPr>
        <w:t>平销期人群策略：潜客人群互动参与-品牌认知-淘内回搜-人群再营销-淘内购买；</w:t>
      </w:r>
    </w:p>
    <w:p w14:paraId="42F98493" w14:textId="54775FAD" w:rsidR="00847B24" w:rsidRPr="00B1690F" w:rsidRDefault="00167147" w:rsidP="00B1690F">
      <w:pPr>
        <w:spacing w:before="100" w:beforeAutospacing="1" w:after="100" w:afterAutospacing="1"/>
        <w:jc w:val="both"/>
        <w:textAlignment w:val="baseline"/>
        <w:rPr>
          <w:rFonts w:ascii="微软雅黑" w:eastAsia="微软雅黑" w:hAnsi="微软雅黑"/>
          <w:sz w:val="21"/>
          <w:szCs w:val="21"/>
        </w:rPr>
      </w:pPr>
      <w:r w:rsidRPr="00B1690F">
        <w:rPr>
          <w:rFonts w:ascii="微软雅黑" w:eastAsia="微软雅黑" w:hAnsi="微软雅黑" w:hint="eastAsia"/>
          <w:sz w:val="21"/>
          <w:szCs w:val="21"/>
        </w:rPr>
        <w:t>C</w:t>
      </w:r>
      <w:r w:rsidR="00B1690F">
        <w:rPr>
          <w:rFonts w:ascii="微软雅黑" w:eastAsia="微软雅黑" w:hAnsi="微软雅黑" w:hint="eastAsia"/>
          <w:sz w:val="21"/>
          <w:szCs w:val="21"/>
        </w:rPr>
        <w:t>、</w:t>
      </w:r>
      <w:r w:rsidRPr="00B1690F">
        <w:rPr>
          <w:rFonts w:ascii="微软雅黑" w:eastAsia="微软雅黑" w:hAnsi="微软雅黑" w:hint="eastAsia"/>
          <w:sz w:val="21"/>
          <w:szCs w:val="21"/>
        </w:rPr>
        <w:t>平销期传播执行策略：互动城资源联动传播</w:t>
      </w:r>
      <w:r w:rsidR="00B1690F">
        <w:rPr>
          <w:rFonts w:ascii="微软雅黑" w:eastAsia="微软雅黑" w:hAnsi="微软雅黑" w:hint="eastAsia"/>
          <w:sz w:val="21"/>
          <w:szCs w:val="21"/>
        </w:rPr>
        <w:t>——</w:t>
      </w:r>
      <w:r w:rsidRPr="00B1690F">
        <w:rPr>
          <w:rFonts w:ascii="微软雅黑" w:eastAsia="微软雅黑" w:hAnsi="微软雅黑" w:hint="eastAsia"/>
          <w:sz w:val="21"/>
          <w:szCs w:val="21"/>
        </w:rPr>
        <w:t>福利猪互动城内弹窗、banner、任务条联动。</w:t>
      </w:r>
    </w:p>
    <w:p w14:paraId="47E0AE18" w14:textId="2F434059" w:rsidR="00167147" w:rsidRPr="00167147" w:rsidRDefault="00167147" w:rsidP="00167147">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3F8ADE88" wp14:editId="272C1FA9">
            <wp:extent cx="3195781" cy="3531338"/>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8322" cy="3534146"/>
                    </a:xfrm>
                    <a:prstGeom prst="rect">
                      <a:avLst/>
                    </a:prstGeom>
                    <a:noFill/>
                    <a:ln>
                      <a:noFill/>
                    </a:ln>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748091DF" w14:textId="5A1105C7" w:rsidR="00CD031B" w:rsidRPr="00761321" w:rsidRDefault="00167147" w:rsidP="00761321">
      <w:pPr>
        <w:pStyle w:val="af4"/>
        <w:spacing w:before="100" w:beforeAutospacing="1" w:after="100" w:afterAutospacing="1"/>
        <w:rPr>
          <w:rFonts w:ascii="微软雅黑" w:eastAsia="微软雅黑" w:hAnsi="微软雅黑"/>
          <w:bCs/>
          <w:spacing w:val="8"/>
        </w:rPr>
      </w:pPr>
      <w:r w:rsidRPr="00B1690F">
        <w:rPr>
          <w:rFonts w:ascii="微软雅黑" w:eastAsia="微软雅黑" w:hAnsi="微软雅黑"/>
          <w:sz w:val="21"/>
          <w:szCs w:val="21"/>
        </w:rPr>
        <w:t>整体CTR较以往提升</w:t>
      </w:r>
      <w:r w:rsidRPr="00167147">
        <w:rPr>
          <w:rFonts w:ascii="微软雅黑" w:eastAsia="微软雅黑" w:hAnsi="微软雅黑"/>
          <w:b/>
          <w:spacing w:val="8"/>
          <w:sz w:val="28"/>
        </w:rPr>
        <w:t>30%</w:t>
      </w:r>
      <w:r w:rsidRPr="004606D5">
        <w:rPr>
          <w:rFonts w:ascii="微软雅黑" w:eastAsia="微软雅黑" w:hAnsi="微软雅黑"/>
          <w:spacing w:val="8"/>
        </w:rPr>
        <w:t>，</w:t>
      </w:r>
      <w:r w:rsidRPr="00B1690F">
        <w:rPr>
          <w:rFonts w:ascii="微软雅黑" w:eastAsia="微软雅黑" w:hAnsi="微软雅黑"/>
          <w:sz w:val="21"/>
          <w:szCs w:val="21"/>
        </w:rPr>
        <w:t>7日消费者沉淀较以往提升</w:t>
      </w:r>
      <w:r w:rsidRPr="00167147">
        <w:rPr>
          <w:rFonts w:ascii="微软雅黑" w:eastAsia="微软雅黑" w:hAnsi="微软雅黑"/>
          <w:b/>
          <w:spacing w:val="8"/>
          <w:sz w:val="28"/>
        </w:rPr>
        <w:t>20%</w:t>
      </w:r>
      <w:r w:rsidRPr="004606D5">
        <w:rPr>
          <w:rFonts w:ascii="微软雅黑" w:eastAsia="微软雅黑" w:hAnsi="微软雅黑"/>
          <w:spacing w:val="8"/>
        </w:rPr>
        <w:t>。</w:t>
      </w:r>
    </w:p>
    <w:sectPr w:rsidR="00CD031B" w:rsidRPr="00761321" w:rsidSect="00970C56">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0929A" w14:textId="77777777" w:rsidR="007B1D19" w:rsidRDefault="007B1D19">
      <w:r>
        <w:separator/>
      </w:r>
    </w:p>
  </w:endnote>
  <w:endnote w:type="continuationSeparator" w:id="0">
    <w:p w14:paraId="66FF1987" w14:textId="77777777" w:rsidR="007B1D19" w:rsidRDefault="007B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162ED" w14:textId="77777777" w:rsidR="00F01AE9" w:rsidRDefault="00F01AE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920AA" w14:textId="77777777" w:rsidR="007B1D19" w:rsidRDefault="007B1D19">
      <w:r>
        <w:separator/>
      </w:r>
    </w:p>
  </w:footnote>
  <w:footnote w:type="continuationSeparator" w:id="0">
    <w:p w14:paraId="14C08286" w14:textId="77777777" w:rsidR="007B1D19" w:rsidRDefault="007B1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EF62E" w14:textId="77777777" w:rsidR="00F01AE9" w:rsidRDefault="00F01AE9">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192F1" w14:textId="77777777" w:rsidR="00F01AE9" w:rsidRDefault="00F01AE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F6F3364"/>
    <w:multiLevelType w:val="hybridMultilevel"/>
    <w:tmpl w:val="58F876AE"/>
    <w:lvl w:ilvl="0" w:tplc="09BA61B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AB22059"/>
    <w:multiLevelType w:val="hybridMultilevel"/>
    <w:tmpl w:val="543C0230"/>
    <w:lvl w:ilvl="0" w:tplc="5A281D46">
      <w:start w:val="1"/>
      <w:numFmt w:val="decimal"/>
      <w:lvlText w:val="%1."/>
      <w:lvlJc w:val="left"/>
      <w:pPr>
        <w:ind w:left="280" w:hanging="28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DC56917"/>
    <w:multiLevelType w:val="hybridMultilevel"/>
    <w:tmpl w:val="0EF40790"/>
    <w:lvl w:ilvl="0" w:tplc="E1ECDBD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2"/>
  </w:num>
  <w:num w:numId="4">
    <w:abstractNumId w:val="5"/>
  </w:num>
  <w:num w:numId="5">
    <w:abstractNumId w:val="0"/>
  </w:num>
  <w:num w:numId="6">
    <w:abstractNumId w:val="19"/>
  </w:num>
  <w:num w:numId="7">
    <w:abstractNumId w:val="17"/>
  </w:num>
  <w:num w:numId="8">
    <w:abstractNumId w:val="12"/>
  </w:num>
  <w:num w:numId="9">
    <w:abstractNumId w:val="11"/>
  </w:num>
  <w:num w:numId="10">
    <w:abstractNumId w:val="10"/>
  </w:num>
  <w:num w:numId="11">
    <w:abstractNumId w:val="14"/>
  </w:num>
  <w:num w:numId="12">
    <w:abstractNumId w:val="18"/>
  </w:num>
  <w:num w:numId="13">
    <w:abstractNumId w:val="6"/>
  </w:num>
  <w:num w:numId="14">
    <w:abstractNumId w:val="15"/>
  </w:num>
  <w:num w:numId="15">
    <w:abstractNumId w:val="3"/>
  </w:num>
  <w:num w:numId="16">
    <w:abstractNumId w:val="4"/>
  </w:num>
  <w:num w:numId="17">
    <w:abstractNumId w:val="1"/>
  </w:num>
  <w:num w:numId="18">
    <w:abstractNumId w:val="7"/>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21FF"/>
    <w:rsid w:val="00024497"/>
    <w:rsid w:val="00030A60"/>
    <w:rsid w:val="00046CF7"/>
    <w:rsid w:val="00051A9A"/>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67147"/>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78E9"/>
    <w:rsid w:val="00250580"/>
    <w:rsid w:val="00252186"/>
    <w:rsid w:val="00255B1F"/>
    <w:rsid w:val="00262A77"/>
    <w:rsid w:val="00266A5B"/>
    <w:rsid w:val="002707E7"/>
    <w:rsid w:val="00270EF0"/>
    <w:rsid w:val="002712AF"/>
    <w:rsid w:val="00274F8A"/>
    <w:rsid w:val="002826E2"/>
    <w:rsid w:val="00290500"/>
    <w:rsid w:val="002A004E"/>
    <w:rsid w:val="002A44B4"/>
    <w:rsid w:val="002B0CDA"/>
    <w:rsid w:val="002B1FC2"/>
    <w:rsid w:val="002C2690"/>
    <w:rsid w:val="002C5BD1"/>
    <w:rsid w:val="002E7E41"/>
    <w:rsid w:val="002F2AF3"/>
    <w:rsid w:val="002F3A4B"/>
    <w:rsid w:val="002F7E7A"/>
    <w:rsid w:val="003056B8"/>
    <w:rsid w:val="00311DCD"/>
    <w:rsid w:val="00317BD4"/>
    <w:rsid w:val="00320B24"/>
    <w:rsid w:val="003219F7"/>
    <w:rsid w:val="00334623"/>
    <w:rsid w:val="003548BE"/>
    <w:rsid w:val="00357C58"/>
    <w:rsid w:val="00361FEC"/>
    <w:rsid w:val="00362043"/>
    <w:rsid w:val="00365FAB"/>
    <w:rsid w:val="00371D9E"/>
    <w:rsid w:val="00371F8B"/>
    <w:rsid w:val="00384C5D"/>
    <w:rsid w:val="00386776"/>
    <w:rsid w:val="00386E93"/>
    <w:rsid w:val="0038758A"/>
    <w:rsid w:val="003A2FD7"/>
    <w:rsid w:val="003A3097"/>
    <w:rsid w:val="003A3802"/>
    <w:rsid w:val="003B4784"/>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273F"/>
    <w:rsid w:val="004A4904"/>
    <w:rsid w:val="004C539E"/>
    <w:rsid w:val="004C766D"/>
    <w:rsid w:val="004D3EF9"/>
    <w:rsid w:val="004D53A9"/>
    <w:rsid w:val="004D6A4D"/>
    <w:rsid w:val="004E459E"/>
    <w:rsid w:val="004E704D"/>
    <w:rsid w:val="004F1372"/>
    <w:rsid w:val="004F1399"/>
    <w:rsid w:val="004F1825"/>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07F37"/>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E1642"/>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1321"/>
    <w:rsid w:val="00764220"/>
    <w:rsid w:val="00776F56"/>
    <w:rsid w:val="0079238C"/>
    <w:rsid w:val="00793F18"/>
    <w:rsid w:val="00795109"/>
    <w:rsid w:val="007A0451"/>
    <w:rsid w:val="007A4E3A"/>
    <w:rsid w:val="007B1D19"/>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242"/>
    <w:rsid w:val="0090431A"/>
    <w:rsid w:val="009076EA"/>
    <w:rsid w:val="00910C5D"/>
    <w:rsid w:val="00911F7D"/>
    <w:rsid w:val="00913B2E"/>
    <w:rsid w:val="00915DD8"/>
    <w:rsid w:val="009205FC"/>
    <w:rsid w:val="00932225"/>
    <w:rsid w:val="00932353"/>
    <w:rsid w:val="0094669F"/>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3B59"/>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038"/>
    <w:rsid w:val="00AB7EE6"/>
    <w:rsid w:val="00AC6E5A"/>
    <w:rsid w:val="00AD1334"/>
    <w:rsid w:val="00AD1E2C"/>
    <w:rsid w:val="00AD58E1"/>
    <w:rsid w:val="00AD5FDE"/>
    <w:rsid w:val="00AE7F81"/>
    <w:rsid w:val="00AF0F77"/>
    <w:rsid w:val="00AF1D91"/>
    <w:rsid w:val="00B03FD0"/>
    <w:rsid w:val="00B05B17"/>
    <w:rsid w:val="00B1690F"/>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566CA"/>
    <w:rsid w:val="00C657FA"/>
    <w:rsid w:val="00C67E7C"/>
    <w:rsid w:val="00C73B42"/>
    <w:rsid w:val="00C93159"/>
    <w:rsid w:val="00C96025"/>
    <w:rsid w:val="00CA397B"/>
    <w:rsid w:val="00CA426C"/>
    <w:rsid w:val="00CB2251"/>
    <w:rsid w:val="00CB2938"/>
    <w:rsid w:val="00CB29C6"/>
    <w:rsid w:val="00CB462E"/>
    <w:rsid w:val="00CB4A74"/>
    <w:rsid w:val="00CC12DC"/>
    <w:rsid w:val="00CC24FE"/>
    <w:rsid w:val="00CC70FB"/>
    <w:rsid w:val="00CD031B"/>
    <w:rsid w:val="00CE55AC"/>
    <w:rsid w:val="00D1108E"/>
    <w:rsid w:val="00D13BC3"/>
    <w:rsid w:val="00D14F03"/>
    <w:rsid w:val="00D409BB"/>
    <w:rsid w:val="00D411C0"/>
    <w:rsid w:val="00D5007A"/>
    <w:rsid w:val="00D5598B"/>
    <w:rsid w:val="00D56BD0"/>
    <w:rsid w:val="00D63679"/>
    <w:rsid w:val="00D63F4F"/>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1132"/>
    <w:rsid w:val="00EC320D"/>
    <w:rsid w:val="00EC4DA4"/>
    <w:rsid w:val="00EC6379"/>
    <w:rsid w:val="00ED507C"/>
    <w:rsid w:val="00EE38CD"/>
    <w:rsid w:val="00EE4F13"/>
    <w:rsid w:val="00EE6D2C"/>
    <w:rsid w:val="00EE72D7"/>
    <w:rsid w:val="00F0134F"/>
    <w:rsid w:val="00F01AE9"/>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rsid w:val="001D3F3B"/>
  </w:style>
  <w:style w:type="character" w:customStyle="1" w:styleId="af5">
    <w:name w:val="批注文字 字符"/>
    <w:basedOn w:val="a0"/>
    <w:link w:val="af4"/>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table" w:customStyle="1" w:styleId="11">
    <w:name w:val="无格式表格 11"/>
    <w:basedOn w:val="a1"/>
    <w:uiPriority w:val="41"/>
    <w:rsid w:val="00EC11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CBFB51E-998B-014C-9D43-0ACFA1C6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271</Words>
  <Characters>1549</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5</cp:revision>
  <cp:lastPrinted>2012-10-11T08:46:00Z</cp:lastPrinted>
  <dcterms:created xsi:type="dcterms:W3CDTF">2023-02-03T07:48:00Z</dcterms:created>
  <dcterms:modified xsi:type="dcterms:W3CDTF">2023-02-19T11:53:00Z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