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9219F7" w14:textId="77777777" w:rsidR="00646BBB"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皇家美素佳儿《这！就是街舞5》 随心所“育”野出范儿</w:t>
      </w:r>
    </w:p>
    <w:p w14:paraId="0AD6E11D" w14:textId="77777777" w:rsidR="00646BBB"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：皇家美素佳儿</w:t>
      </w:r>
    </w:p>
    <w:p w14:paraId="7086BB39" w14:textId="77777777" w:rsidR="00646BBB"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：母婴及关联品</w:t>
      </w:r>
    </w:p>
    <w:p w14:paraId="7BC9618E" w14:textId="2A9CAFF2" w:rsidR="00646BBB"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：2022.</w:t>
      </w:r>
      <w:r w:rsidR="005921E3">
        <w:rPr>
          <w:rFonts w:ascii="微软雅黑" w:eastAsia="微软雅黑" w:hAnsi="微软雅黑"/>
          <w:sz w:val="21"/>
          <w:szCs w:val="21"/>
        </w:rPr>
        <w:t>0</w:t>
      </w:r>
      <w:r>
        <w:rPr>
          <w:rFonts w:ascii="微软雅黑" w:eastAsia="微软雅黑" w:hAnsi="微软雅黑" w:hint="eastAsia"/>
          <w:sz w:val="21"/>
          <w:szCs w:val="21"/>
        </w:rPr>
        <w:t>8.13-10.30</w:t>
      </w:r>
    </w:p>
    <w:p w14:paraId="77B07B7E" w14:textId="4F890200" w:rsidR="00646BBB"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F7208F">
        <w:rPr>
          <w:rFonts w:ascii="微软雅黑" w:eastAsia="微软雅黑" w:hAnsi="微软雅黑" w:hint="eastAsia"/>
          <w:sz w:val="21"/>
          <w:szCs w:val="21"/>
        </w:rPr>
        <w:t>I</w:t>
      </w:r>
      <w:r w:rsidR="00F7208F">
        <w:rPr>
          <w:rFonts w:ascii="微软雅黑" w:eastAsia="微软雅黑" w:hAnsi="微软雅黑"/>
          <w:sz w:val="21"/>
          <w:szCs w:val="21"/>
        </w:rPr>
        <w:t>P</w:t>
      </w:r>
      <w:r w:rsidR="00F7208F">
        <w:rPr>
          <w:rFonts w:ascii="微软雅黑" w:eastAsia="微软雅黑" w:hAnsi="微软雅黑" w:hint="eastAsia"/>
          <w:sz w:val="21"/>
          <w:szCs w:val="21"/>
        </w:rPr>
        <w:t>营销类</w:t>
      </w:r>
    </w:p>
    <w:p w14:paraId="323D4851" w14:textId="77777777" w:rsidR="00646BB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740C19DF" w14:textId="33B24438" w:rsidR="00646BBB" w:rsidRDefault="005921E3">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1、母婴行业年轻化趋势：布局未来人群</w:t>
      </w:r>
    </w:p>
    <w:p w14:paraId="0F498709"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基于出生人口和出生率双双下滑，母婴行业在存量市场的竞争加剧，需要提前抢占年轻人心智，不断进行母婴潜客拉新，布局更多年轻品牌人群。</w:t>
      </w:r>
    </w:p>
    <w:p w14:paraId="12CE2409" w14:textId="65267AA8" w:rsidR="00646BBB" w:rsidRDefault="005921E3">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2、母婴渠道线上化趋势：电商份额提升</w:t>
      </w:r>
    </w:p>
    <w:p w14:paraId="094936DA"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因疫情影响线上卖场，母婴在线上销售比例提升，品牌愈加注重电商节点的人群蓄水以及内容场到电商场的有效人群转化，而阿里生态作为双11主场，会成为母婴品牌双11营销重点阵地。</w:t>
      </w:r>
    </w:p>
    <w:p w14:paraId="58CA0AE8" w14:textId="1097D9CE" w:rsidR="00646BBB" w:rsidRDefault="005921E3">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3、品牌资产沉淀：强化年轻潮流印记</w:t>
      </w:r>
    </w:p>
    <w:p w14:paraId="5A114B95"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皇家美素佳儿持续通过爆款IP的强捆绑来触达年轻群体，之前已与《这！就是街舞3》&amp;《这！就是街舞4》有过合作，第三度携手强化自身潮流年轻母婴品牌的独特印记同时沉淀品牌资产，丰富 “非凡内护 随心所育”的全新品牌理念。</w:t>
      </w:r>
    </w:p>
    <w:p w14:paraId="648D8325" w14:textId="77777777" w:rsidR="00646BB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23ED117D"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目标1：强化品牌“非凡内护 随心所育”价值输出；</w:t>
      </w:r>
    </w:p>
    <w:p w14:paraId="58C4A33A"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目标2：注入品牌年轻活力，坐稳潮流新生代母婴品牌第一把交椅；</w:t>
      </w:r>
    </w:p>
    <w:p w14:paraId="0AB6D877" w14:textId="2C8B79E5"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目标3：助力品牌声量提升，有效进行双11人群蓄水</w:t>
      </w:r>
      <w:r w:rsidR="005921E3">
        <w:rPr>
          <w:rFonts w:ascii="微软雅黑" w:eastAsia="微软雅黑" w:hAnsi="微软雅黑" w:hint="eastAsia"/>
          <w:sz w:val="21"/>
          <w:szCs w:val="21"/>
        </w:rPr>
        <w:t>。</w:t>
      </w:r>
    </w:p>
    <w:p w14:paraId="239B1264" w14:textId="77777777" w:rsidR="00646BB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0F1D52E8"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皇家美素佳儿持续通过爆款IP的强捆绑来触达年轻群体</w:t>
      </w:r>
      <w:r>
        <w:rPr>
          <w:rFonts w:ascii="微软雅黑" w:eastAsia="微软雅黑" w:hAnsi="微软雅黑" w:hint="eastAsia"/>
          <w:sz w:val="21"/>
          <w:szCs w:val="21"/>
        </w:rPr>
        <w:t>，借助第五季「传承与希望」街舞主题非凡守护新生代，第三度携手强化自身潮流年轻母婴品牌的独特印记，</w:t>
      </w:r>
      <w:r>
        <w:rPr>
          <w:rFonts w:ascii="微软雅黑" w:eastAsia="微软雅黑" w:hAnsi="微软雅黑" w:hint="eastAsia"/>
          <w:b/>
          <w:bCs/>
          <w:sz w:val="21"/>
          <w:szCs w:val="21"/>
        </w:rPr>
        <w:t>丰富 “非凡内护 随心所育”的全新品牌理念</w:t>
      </w:r>
      <w:r>
        <w:rPr>
          <w:rFonts w:ascii="微软雅黑" w:eastAsia="微软雅黑" w:hAnsi="微软雅黑" w:hint="eastAsia"/>
          <w:sz w:val="21"/>
          <w:szCs w:val="21"/>
        </w:rPr>
        <w:t>。在内容场围绕主题“传承与希望” 陪伴新生代一路成长强化品牌“非凡内护 随心所育”价值输出，</w:t>
      </w:r>
      <w:r>
        <w:rPr>
          <w:rFonts w:ascii="微软雅黑" w:eastAsia="微软雅黑" w:hAnsi="微软雅黑" w:hint="eastAsia"/>
          <w:b/>
          <w:bCs/>
          <w:sz w:val="21"/>
          <w:szCs w:val="21"/>
        </w:rPr>
        <w:t>社交场携手街舞IP打造非凡内护战队提升年轻用户互动</w:t>
      </w:r>
      <w:r>
        <w:rPr>
          <w:rFonts w:ascii="微软雅黑" w:eastAsia="微软雅黑" w:hAnsi="微软雅黑" w:hint="eastAsia"/>
          <w:sz w:val="21"/>
          <w:szCs w:val="21"/>
        </w:rPr>
        <w:t>，实现母婴潜客的破圈拉新，</w:t>
      </w:r>
      <w:r>
        <w:rPr>
          <w:rFonts w:ascii="微软雅黑" w:eastAsia="微软雅黑" w:hAnsi="微软雅黑" w:hint="eastAsia"/>
          <w:b/>
          <w:bCs/>
          <w:sz w:val="21"/>
          <w:szCs w:val="21"/>
        </w:rPr>
        <w:t>为双11节点进行蓄水</w:t>
      </w:r>
      <w:r>
        <w:rPr>
          <w:rFonts w:ascii="微软雅黑" w:eastAsia="微软雅黑" w:hAnsi="微软雅黑" w:hint="eastAsia"/>
          <w:sz w:val="21"/>
          <w:szCs w:val="21"/>
        </w:rPr>
        <w:t>。</w:t>
      </w:r>
    </w:p>
    <w:p w14:paraId="73025A2E"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114300" distR="114300" wp14:anchorId="6E6B4177" wp14:editId="23BB6C11">
            <wp:extent cx="5715000" cy="3211195"/>
            <wp:effectExtent l="0" t="0" r="0" b="19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715000" cy="3211195"/>
                    </a:xfrm>
                    <a:prstGeom prst="rect">
                      <a:avLst/>
                    </a:prstGeom>
                  </pic:spPr>
                </pic:pic>
              </a:graphicData>
            </a:graphic>
          </wp:inline>
        </w:drawing>
      </w:r>
    </w:p>
    <w:p w14:paraId="3C4A96FD" w14:textId="77777777" w:rsidR="00646BBB"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内容场:</w:t>
      </w:r>
      <w:r>
        <w:rPr>
          <w:rFonts w:ascii="微软雅黑" w:eastAsia="微软雅黑" w:hAnsi="微软雅黑" w:hint="eastAsia"/>
          <w:sz w:val="21"/>
          <w:szCs w:val="21"/>
        </w:rPr>
        <w:t xml:space="preserve"> 围绕街舞第五季主题“传承与希望”（battle for hope），展望街舞新一代，由明星队长与OG大师团共同陪伴成长，让选手去野去battle去探索去成长，</w:t>
      </w:r>
      <w:r>
        <w:rPr>
          <w:rFonts w:ascii="微软雅黑" w:eastAsia="微软雅黑" w:hAnsi="微软雅黑" w:hint="eastAsia"/>
          <w:b/>
          <w:bCs/>
          <w:sz w:val="21"/>
          <w:szCs w:val="21"/>
        </w:rPr>
        <w:t>融合赛制内容中展现品牌价值输出。</w:t>
      </w:r>
    </w:p>
    <w:p w14:paraId="148F408E"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社交场</w:t>
      </w:r>
      <w:r>
        <w:rPr>
          <w:rFonts w:ascii="微软雅黑" w:eastAsia="微软雅黑" w:hAnsi="微软雅黑" w:hint="eastAsia"/>
          <w:sz w:val="21"/>
          <w:szCs w:val="21"/>
        </w:rPr>
        <w:t>：与当下热衷街舞潮流的年轻人玩在一起，走近年轻人用户，为“品牌年轻化”注入新活力。</w:t>
      </w:r>
      <w:r>
        <w:rPr>
          <w:rFonts w:ascii="微软雅黑" w:eastAsia="微软雅黑" w:hAnsi="微软雅黑" w:hint="eastAsia"/>
          <w:b/>
          <w:bCs/>
          <w:sz w:val="21"/>
          <w:szCs w:val="21"/>
        </w:rPr>
        <w:t>通过持续绑定爆款IP，三度携手街舞强化潮流基因</w:t>
      </w:r>
      <w:r>
        <w:rPr>
          <w:rFonts w:ascii="微软雅黑" w:eastAsia="微软雅黑" w:hAnsi="微软雅黑" w:hint="eastAsia"/>
          <w:sz w:val="21"/>
          <w:szCs w:val="21"/>
        </w:rPr>
        <w:t>。节目外基于IP授权整合社交资源，助力品牌声量提升。</w:t>
      </w:r>
    </w:p>
    <w:p w14:paraId="56AC367D" w14:textId="77777777" w:rsidR="00646BBB"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电商场</w:t>
      </w:r>
      <w:r>
        <w:rPr>
          <w:rFonts w:ascii="微软雅黑" w:eastAsia="微软雅黑" w:hAnsi="微软雅黑" w:hint="eastAsia"/>
          <w:sz w:val="21"/>
          <w:szCs w:val="21"/>
        </w:rPr>
        <w:t>：以IP为核心，节目内品牌全程曝光，</w:t>
      </w:r>
      <w:r>
        <w:rPr>
          <w:rFonts w:ascii="微软雅黑" w:eastAsia="微软雅黑" w:hAnsi="微软雅黑" w:hint="eastAsia"/>
          <w:b/>
          <w:bCs/>
          <w:sz w:val="21"/>
          <w:szCs w:val="21"/>
        </w:rPr>
        <w:t>观看触达人群回流品牌数据银行，为双11战役进行人群蓄水。</w:t>
      </w:r>
    </w:p>
    <w:p w14:paraId="27B34E60" w14:textId="77777777" w:rsidR="00646BB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24D2811C" w14:textId="77777777" w:rsidR="00646BBB" w:rsidRDefault="00000000" w:rsidP="005921E3">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内容场</w:t>
      </w:r>
    </w:p>
    <w:p w14:paraId="3AAFC68B"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皇家美素美素佳儿携手街舞开启新秀舞台，新老两代舞者风云际会，守护新生代街舞野出范儿，诠释了#非凡内护 随心所育#品牌理念，在合作形式上打破常规，品牌与IP围绕街舞硬核实力选手、硬核对抗舞台进行深度内容共创，展现“双硬核，强内护”品牌卖点。</w:t>
      </w:r>
    </w:p>
    <w:p w14:paraId="0460A541" w14:textId="0143C2B9" w:rsidR="00646BBB" w:rsidRDefault="005921E3">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1、绑定新晋明星奶爸韩庚输出品牌价值，热度在线一路守护</w:t>
      </w:r>
    </w:p>
    <w:p w14:paraId="0AB07187"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融合比赛情节中，奶爸韩庚守护选手一路成长，准备决赛守护福利。展现品牌守护孩子无限成长可能价值输出。</w:t>
      </w:r>
    </w:p>
    <w:p w14:paraId="2E000363"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114300" distR="114300" wp14:anchorId="682D8923" wp14:editId="35F2F010">
            <wp:extent cx="5713730" cy="3270885"/>
            <wp:effectExtent l="0" t="0" r="1270" b="571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9"/>
                    <a:stretch>
                      <a:fillRect/>
                    </a:stretch>
                  </pic:blipFill>
                  <pic:spPr>
                    <a:xfrm>
                      <a:off x="0" y="0"/>
                      <a:ext cx="5713730" cy="3270885"/>
                    </a:xfrm>
                    <a:prstGeom prst="rect">
                      <a:avLst/>
                    </a:prstGeom>
                  </pic:spPr>
                </pic:pic>
              </a:graphicData>
            </a:graphic>
          </wp:inline>
        </w:drawing>
      </w:r>
    </w:p>
    <w:p w14:paraId="518EC169" w14:textId="20DF06A9" w:rsidR="00646BBB" w:rsidRDefault="005921E3">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2、双硬核冠军绑定：实力演绎双硬核强内护</w:t>
      </w:r>
    </w:p>
    <w:p w14:paraId="6C9EA7D1"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与节目内容深度串联，展现高品质“街舞中插”，由肖杰&amp;杨凯双冠军联袂出演，双人硬核舞姿演绎成长和积极向上的精神内涵，突出演绎了双硬核强内护，成长无惧挑战，没有什么不可以！正如皇家美素佳儿可高达近30倍乳铁蛋白+近0损级天然乳脂因子，两个硬实力成分，守护宝宝成长，无惧battle！</w:t>
      </w:r>
    </w:p>
    <w:p w14:paraId="1D98F27E"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43F06250" wp14:editId="77F8825B">
            <wp:extent cx="5715000" cy="2333625"/>
            <wp:effectExtent l="0" t="0" r="0" b="317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10"/>
                    <a:stretch>
                      <a:fillRect/>
                    </a:stretch>
                  </pic:blipFill>
                  <pic:spPr>
                    <a:xfrm>
                      <a:off x="0" y="0"/>
                      <a:ext cx="5715000" cy="2333625"/>
                    </a:xfrm>
                    <a:prstGeom prst="rect">
                      <a:avLst/>
                    </a:prstGeom>
                  </pic:spPr>
                </pic:pic>
              </a:graphicData>
            </a:graphic>
          </wp:inline>
        </w:drawing>
      </w:r>
    </w:p>
    <w:p w14:paraId="0F9B7F1A" w14:textId="71AE6BDE" w:rsidR="00646BBB" w:rsidRDefault="005921E3">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3、OG大师&amp;硬核新秀两代传承，守护新生代去野去成长</w:t>
      </w:r>
    </w:p>
    <w:p w14:paraId="5B67CC2E"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由三组【双硬核实力新秀】选手拍摄创意舞蹈视频，进行产品互动，与近0损级天然乳脂因子和可高达30倍乳铁蛋白的双硬核形成连接，强化“双硬核强内护”的产品特点，完成消费者心智种草；在另一组情节植入中，肖杰&amp;豆豆师徒共同传授萌娃街舞压箱底大招，带娃解锁成长更多可能，展现第五季【传承与希望】的主题。由双硬核强内护的皇家美素佳儿助力宝宝奶力加满、由内而外强健，成长没什么不可以！</w:t>
      </w:r>
    </w:p>
    <w:p w14:paraId="3810E258"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114300" distR="114300" wp14:anchorId="13ADE176" wp14:editId="10AF1DD9">
            <wp:extent cx="5716905" cy="2324735"/>
            <wp:effectExtent l="0" t="0" r="10795" b="12065"/>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11"/>
                    <a:stretch>
                      <a:fillRect/>
                    </a:stretch>
                  </pic:blipFill>
                  <pic:spPr>
                    <a:xfrm>
                      <a:off x="0" y="0"/>
                      <a:ext cx="5716905" cy="2324735"/>
                    </a:xfrm>
                    <a:prstGeom prst="rect">
                      <a:avLst/>
                    </a:prstGeom>
                  </pic:spPr>
                </pic:pic>
              </a:graphicData>
            </a:graphic>
          </wp:inline>
        </w:drawing>
      </w:r>
    </w:p>
    <w:p w14:paraId="7AC81771" w14:textId="3B33E451" w:rsidR="00646BBB" w:rsidRDefault="005921E3">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4、锁定高燃场面硬核输出，海量露出抢占年轻人心智</w:t>
      </w:r>
    </w:p>
    <w:p w14:paraId="69384335"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品牌想要触达年轻人，抢占心智与市场，首先就是要找准年轻人的兴趣“聚集地”，《这街》系列作为深耕街舞垂类赛道多年、载誉满满的综N代，汇集了大量的年轻潮人，自然是品牌的不二之选。身为特约赞助，皇家美素佳儿搭载《这街5》全程硬核陪伴年轻人。通过花式植入强势抢镜，以片头标板、产品展示、场景植入、花字压屏条等方式贯穿整季节目，与年轻人保持时刻沟通。通过海量露出，在潜移默化中完成“非凡内护 随心所育”的品牌心智渗透。]</w:t>
      </w:r>
    </w:p>
    <w:p w14:paraId="2E773D85"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114300" distR="114300" wp14:anchorId="2918C73B" wp14:editId="369FDB28">
            <wp:extent cx="5704840" cy="2232025"/>
            <wp:effectExtent l="0" t="0" r="10160" b="3175"/>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12"/>
                    <a:stretch>
                      <a:fillRect/>
                    </a:stretch>
                  </pic:blipFill>
                  <pic:spPr>
                    <a:xfrm>
                      <a:off x="0" y="0"/>
                      <a:ext cx="5704840" cy="2232025"/>
                    </a:xfrm>
                    <a:prstGeom prst="rect">
                      <a:avLst/>
                    </a:prstGeom>
                  </pic:spPr>
                </pic:pic>
              </a:graphicData>
            </a:graphic>
          </wp:inline>
        </w:drawing>
      </w:r>
    </w:p>
    <w:p w14:paraId="2F7FD50F" w14:textId="77777777" w:rsidR="00646BBB" w:rsidRDefault="00000000" w:rsidP="005921E3">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b/>
          <w:bCs/>
          <w:sz w:val="21"/>
          <w:szCs w:val="21"/>
        </w:rPr>
        <w:t>社交场：携手街舞IP打造非凡内护战队提升年轻用户互动</w:t>
      </w:r>
    </w:p>
    <w:p w14:paraId="561D6DB3"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在微博阵地，Friso美素佳儿官博携《这！就是街舞5》打造非凡内护'战队，并引导#非凡内护' 成长野出范儿#等话题，通过精彩卡断的二次传播、海报、转发抽奖等方式提前预热双冠军大秀舞台，与街舞IP强势捆绑、巧妙相融，释放出解放天性、野出范儿的品牌理念，持续扩散品牌影响力。</w:t>
      </w:r>
    </w:p>
    <w:p w14:paraId="42065048"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114300" distR="114300" wp14:anchorId="2DA75444" wp14:editId="07587A2A">
            <wp:extent cx="4864100" cy="4457700"/>
            <wp:effectExtent l="0" t="0" r="0" b="0"/>
            <wp:docPr id="7" name="图片 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6"/>
                    <pic:cNvPicPr>
                      <a:picLocks noChangeAspect="1"/>
                    </pic:cNvPicPr>
                  </pic:nvPicPr>
                  <pic:blipFill>
                    <a:blip r:embed="rId13"/>
                    <a:stretch>
                      <a:fillRect/>
                    </a:stretch>
                  </pic:blipFill>
                  <pic:spPr>
                    <a:xfrm>
                      <a:off x="0" y="0"/>
                      <a:ext cx="4864100" cy="4457700"/>
                    </a:xfrm>
                    <a:prstGeom prst="rect">
                      <a:avLst/>
                    </a:prstGeom>
                  </pic:spPr>
                </pic:pic>
              </a:graphicData>
            </a:graphic>
          </wp:inline>
        </w:drawing>
      </w:r>
    </w:p>
    <w:p w14:paraId="0742B559" w14:textId="77777777" w:rsidR="00646BBB" w:rsidRDefault="00000000" w:rsidP="005921E3">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b/>
          <w:bCs/>
          <w:sz w:val="21"/>
          <w:szCs w:val="21"/>
        </w:rPr>
        <w:t>电商场：</w:t>
      </w:r>
    </w:p>
    <w:p w14:paraId="2533CCFC"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街舞相关电商会场导流品牌旗舰店，增持品牌双十一</w:t>
      </w:r>
      <w:r>
        <w:rPr>
          <w:rFonts w:ascii="微软雅黑" w:eastAsia="微软雅黑" w:hAnsi="微软雅黑" w:hint="eastAsia"/>
          <w:sz w:val="21"/>
          <w:szCs w:val="21"/>
        </w:rPr>
        <w:t>。</w:t>
      </w:r>
    </w:p>
    <w:p w14:paraId="4F4B951F"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114300" distR="114300" wp14:anchorId="68535F58" wp14:editId="617D94C0">
            <wp:extent cx="5715635" cy="1971675"/>
            <wp:effectExtent l="0" t="0" r="12065" b="9525"/>
            <wp:docPr id="8" name="图片 8"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7"/>
                    <pic:cNvPicPr>
                      <a:picLocks noChangeAspect="1"/>
                    </pic:cNvPicPr>
                  </pic:nvPicPr>
                  <pic:blipFill>
                    <a:blip r:embed="rId14"/>
                    <a:stretch>
                      <a:fillRect/>
                    </a:stretch>
                  </pic:blipFill>
                  <pic:spPr>
                    <a:xfrm>
                      <a:off x="0" y="0"/>
                      <a:ext cx="5715635" cy="1971675"/>
                    </a:xfrm>
                    <a:prstGeom prst="rect">
                      <a:avLst/>
                    </a:prstGeom>
                  </pic:spPr>
                </pic:pic>
              </a:graphicData>
            </a:graphic>
          </wp:inline>
        </w:drawing>
      </w:r>
    </w:p>
    <w:p w14:paraId="21A49B3C" w14:textId="77777777" w:rsidR="00646BB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42E3FF86" w14:textId="77777777" w:rsidR="00646BBB"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效果超乎期待，超高播放量，超强口碑，实现母婴潜客破圈拉新，为双11蓄水品效增长。</w:t>
      </w:r>
    </w:p>
    <w:p w14:paraId="3FCE9065"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1. 母婴潜客破圈拉新：</w:t>
      </w:r>
      <w:r>
        <w:rPr>
          <w:rFonts w:ascii="微软雅黑" w:eastAsia="微软雅黑" w:hAnsi="微软雅黑" w:hint="eastAsia"/>
          <w:sz w:val="21"/>
          <w:szCs w:val="21"/>
        </w:rPr>
        <w:t>节目播放量30亿+，其中</w:t>
      </w:r>
      <w:r>
        <w:rPr>
          <w:rFonts w:ascii="微软雅黑" w:eastAsia="微软雅黑" w:hAnsi="微软雅黑" w:hint="eastAsia"/>
          <w:b/>
          <w:bCs/>
          <w:sz w:val="21"/>
          <w:szCs w:val="21"/>
        </w:rPr>
        <w:t>63%为女性受众</w:t>
      </w:r>
      <w:r>
        <w:rPr>
          <w:rFonts w:ascii="微软雅黑" w:eastAsia="微软雅黑" w:hAnsi="微软雅黑" w:hint="eastAsia"/>
          <w:sz w:val="21"/>
          <w:szCs w:val="21"/>
        </w:rPr>
        <w:t>，18-34岁年轻受众超75%，曝光品牌新客达到99%。</w:t>
      </w:r>
    </w:p>
    <w:p w14:paraId="72864EED"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lastRenderedPageBreak/>
        <w:t>2. 品牌认知好感度全面提升</w:t>
      </w:r>
      <w:r>
        <w:rPr>
          <w:rFonts w:ascii="微软雅黑" w:eastAsia="微软雅黑" w:hAnsi="微软雅黑" w:hint="eastAsia"/>
          <w:sz w:val="21"/>
          <w:szCs w:val="21"/>
        </w:rPr>
        <w:t>：近七成观众对品牌的认知度、喜好度和未来购买意愿均有提升。相比于非观众，观众对于产品卖点“近30倍乳铁蛋白”“超高端”印象深刻。“皇家美素佳儿”与街舞深度联想，彰显时尚高端标签。</w:t>
      </w:r>
    </w:p>
    <w:p w14:paraId="258ECAF1" w14:textId="77777777" w:rsidR="00646BB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3. 双十一有效引流，完成蓄水</w:t>
      </w:r>
      <w:r>
        <w:rPr>
          <w:rFonts w:ascii="微软雅黑" w:eastAsia="微软雅黑" w:hAnsi="微软雅黑" w:hint="eastAsia"/>
          <w:sz w:val="21"/>
          <w:szCs w:val="21"/>
        </w:rPr>
        <w:t>：千万级曝光人群回流数据银行沉淀数据资产，同时有效导流天猫旗舰店</w:t>
      </w:r>
      <w:r>
        <w:rPr>
          <w:rFonts w:ascii="微软雅黑" w:eastAsia="微软雅黑" w:hAnsi="微软雅黑" w:hint="eastAsia"/>
          <w:b/>
          <w:bCs/>
          <w:sz w:val="21"/>
          <w:szCs w:val="21"/>
        </w:rPr>
        <w:t>引流75w人</w:t>
      </w:r>
      <w:r>
        <w:rPr>
          <w:rFonts w:ascii="微软雅黑" w:eastAsia="微软雅黑" w:hAnsi="微软雅黑" w:hint="eastAsia"/>
          <w:sz w:val="21"/>
          <w:szCs w:val="21"/>
        </w:rPr>
        <w:t>促进转化。</w:t>
      </w:r>
    </w:p>
    <w:p w14:paraId="720C484E" w14:textId="77777777" w:rsidR="00646BBB" w:rsidRPr="005921E3" w:rsidRDefault="00000000">
      <w:pPr>
        <w:spacing w:before="100" w:beforeAutospacing="1" w:after="100" w:afterAutospacing="1"/>
        <w:textAlignment w:val="baseline"/>
        <w:rPr>
          <w:rFonts w:ascii="微软雅黑" w:eastAsia="微软雅黑" w:hAnsi="微软雅黑"/>
          <w:b/>
          <w:bCs/>
          <w:sz w:val="21"/>
          <w:szCs w:val="21"/>
        </w:rPr>
      </w:pPr>
      <w:r w:rsidRPr="005921E3">
        <w:rPr>
          <w:rFonts w:ascii="微软雅黑" w:eastAsia="微软雅黑" w:hAnsi="微软雅黑" w:hint="eastAsia"/>
          <w:b/>
          <w:bCs/>
          <w:sz w:val="21"/>
          <w:szCs w:val="21"/>
        </w:rPr>
        <w:t>视频</w:t>
      </w:r>
    </w:p>
    <w:p w14:paraId="5C3EC07C" w14:textId="397D0F25" w:rsidR="00646BBB" w:rsidRDefault="00000000">
      <w:pPr>
        <w:spacing w:before="100" w:beforeAutospacing="1" w:after="100" w:afterAutospacing="1"/>
        <w:rPr>
          <w:rFonts w:ascii="微软雅黑" w:eastAsia="微软雅黑" w:hAnsi="微软雅黑"/>
          <w:sz w:val="21"/>
          <w:szCs w:val="21"/>
        </w:rPr>
      </w:pPr>
      <w:hyperlink r:id="rId15" w:history="1">
        <w:r w:rsidR="005921E3" w:rsidRPr="00FB438A">
          <w:rPr>
            <w:rStyle w:val="af4"/>
            <w:rFonts w:ascii="微软雅黑" w:eastAsia="微软雅黑" w:hAnsi="微软雅黑" w:hint="eastAsia"/>
            <w:sz w:val="21"/>
            <w:szCs w:val="21"/>
          </w:rPr>
          <w:t>https://v.youku.com/v_show/id_XNTkzNTUwNDkyOA==.html</w:t>
        </w:r>
      </w:hyperlink>
    </w:p>
    <w:p w14:paraId="47A6C002" w14:textId="77777777" w:rsidR="005921E3" w:rsidRPr="005921E3" w:rsidRDefault="005921E3">
      <w:pPr>
        <w:spacing w:before="100" w:beforeAutospacing="1" w:after="100" w:afterAutospacing="1"/>
        <w:rPr>
          <w:rFonts w:ascii="微软雅黑" w:eastAsia="微软雅黑" w:hAnsi="微软雅黑"/>
          <w:sz w:val="21"/>
          <w:szCs w:val="21"/>
        </w:rPr>
      </w:pPr>
    </w:p>
    <w:sectPr w:rsidR="005921E3" w:rsidRPr="005921E3">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00708" w14:textId="77777777" w:rsidR="00103BB2" w:rsidRDefault="00103BB2">
      <w:r>
        <w:separator/>
      </w:r>
    </w:p>
  </w:endnote>
  <w:endnote w:type="continuationSeparator" w:id="0">
    <w:p w14:paraId="6DD18F6B" w14:textId="77777777" w:rsidR="00103BB2" w:rsidRDefault="00103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290B" w14:textId="77777777" w:rsidR="00646BBB"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01973E40" w14:textId="77777777" w:rsidR="00646BBB" w:rsidRDefault="00646BBB">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B134" w14:textId="77777777" w:rsidR="00646BBB" w:rsidRDefault="00646BBB">
    <w:pPr>
      <w:pStyle w:val="a9"/>
      <w:framePr w:wrap="around" w:vAnchor="text" w:hAnchor="margin" w:xAlign="right" w:y="1"/>
      <w:rPr>
        <w:rStyle w:val="af2"/>
      </w:rPr>
    </w:pPr>
  </w:p>
  <w:p w14:paraId="26C616DC" w14:textId="77777777" w:rsidR="00646BBB" w:rsidRDefault="00646BBB">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43902" w14:textId="77777777" w:rsidR="00646BBB" w:rsidRDefault="00646BB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0B4FB" w14:textId="77777777" w:rsidR="00103BB2" w:rsidRDefault="00103BB2">
      <w:r>
        <w:separator/>
      </w:r>
    </w:p>
  </w:footnote>
  <w:footnote w:type="continuationSeparator" w:id="0">
    <w:p w14:paraId="6243E57C" w14:textId="77777777" w:rsidR="00103BB2" w:rsidRDefault="00103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7F82" w14:textId="77777777" w:rsidR="00646BBB" w:rsidRDefault="00646BBB">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860D" w14:textId="77777777" w:rsidR="00646BBB"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430F033F" wp14:editId="31FC6ACB">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AC53" w14:textId="77777777" w:rsidR="00646BBB" w:rsidRDefault="00646BB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9E9E7C"/>
    <w:multiLevelType w:val="singleLevel"/>
    <w:tmpl w:val="C89E9E7C"/>
    <w:lvl w:ilvl="0">
      <w:start w:val="1"/>
      <w:numFmt w:val="bullet"/>
      <w:lvlText w:val=""/>
      <w:lvlJc w:val="left"/>
      <w:pPr>
        <w:ind w:left="420" w:hanging="420"/>
      </w:pPr>
      <w:rPr>
        <w:rFonts w:ascii="Wingdings" w:hAnsi="Wingdings" w:hint="default"/>
      </w:rPr>
    </w:lvl>
  </w:abstractNum>
  <w:num w:numId="1" w16cid:durableId="807359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GYwYTMzMDE4ZTU4MTM4MjE3NTNhZjEwYTk5N2YzOWY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3B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921E3"/>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46BBB"/>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64A34"/>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7208F"/>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34D6AF5"/>
    <w:rsid w:val="67E61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508619"/>
  <w15:docId w15:val="{F1A67EE8-22E8-A241-B99C-4C393C2C5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rPr>
      <w:rFonts w:ascii="Arial" w:hAnsi="Arial" w:cs="Times New Roman"/>
      <w:sz w:val="18"/>
      <w:szCs w:val="20"/>
    </w:rPr>
  </w:style>
  <w:style w:type="paragraph" w:styleId="a7">
    <w:name w:val="Balloon Text"/>
    <w:basedOn w:val="a"/>
    <w:link w:val="a8"/>
    <w:uiPriority w:val="99"/>
    <w:semiHidden/>
    <w:unhideWhenUsed/>
    <w:rPr>
      <w:sz w:val="18"/>
      <w:szCs w:val="18"/>
    </w:rPr>
  </w:style>
  <w:style w:type="paragraph" w:styleId="a9">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rPr>
      <w:b/>
      <w:bCs/>
    </w:rPr>
  </w:style>
  <w:style w:type="table" w:styleId="af0">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style>
  <w:style w:type="character" w:styleId="af3">
    <w:name w:val="Emphasis"/>
    <w:basedOn w:val="a0"/>
    <w:qFormat/>
    <w:rPr>
      <w:i/>
    </w:rPr>
  </w:style>
  <w:style w:type="character" w:styleId="af4">
    <w:name w:val="Hyperlink"/>
    <w:basedOn w:val="a0"/>
    <w:rPr>
      <w:color w:val="0000FF"/>
      <w:u w:val="single"/>
    </w:rPr>
  </w:style>
  <w:style w:type="character" w:styleId="af5">
    <w:name w:val="annotation reference"/>
    <w:basedOn w:val="a0"/>
    <w:uiPriority w:val="99"/>
    <w:semiHidden/>
    <w:unhideWhenUsed/>
    <w:rPr>
      <w:sz w:val="21"/>
      <w:szCs w:val="21"/>
    </w:rPr>
  </w:style>
  <w:style w:type="character" w:customStyle="1" w:styleId="ad">
    <w:name w:val="标题 字符"/>
    <w:basedOn w:val="a0"/>
    <w:link w:val="ac"/>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rPr>
      <w:kern w:val="2"/>
      <w:sz w:val="18"/>
      <w:szCs w:val="18"/>
    </w:rPr>
  </w:style>
  <w:style w:type="character" w:customStyle="1" w:styleId="a4">
    <w:name w:val="批注文字 字符"/>
    <w:basedOn w:val="a0"/>
    <w:link w:val="a3"/>
    <w:uiPriority w:val="99"/>
    <w:semiHidden/>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character" w:styleId="af8">
    <w:name w:val="Unresolved Mention"/>
    <w:basedOn w:val="a0"/>
    <w:uiPriority w:val="99"/>
    <w:semiHidden/>
    <w:unhideWhenUsed/>
    <w:rsid w:val="00592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v.youku.com/v_show/id_XNTkzNTUwNDkyOA==.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351</Words>
  <Characters>2004</Characters>
  <Application>Microsoft Office Word</Application>
  <DocSecurity>0</DocSecurity>
  <Lines>16</Lines>
  <Paragraphs>4</Paragraphs>
  <ScaleCrop>false</ScaleCrop>
  <Company>WWW.YlmF.CoM</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713</cp:lastModifiedBy>
  <cp:revision>2</cp:revision>
  <cp:lastPrinted>2012-10-11T08:46:00Z</cp:lastPrinted>
  <dcterms:created xsi:type="dcterms:W3CDTF">2023-02-17T08:54:00Z</dcterms:created>
  <dcterms:modified xsi:type="dcterms:W3CDTF">2023-02-17T08:54:00Z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4CAA77E9A79D4A0384D56C1BC61E58E5</vt:lpwstr>
  </property>
</Properties>
</file>