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48308F3" w14:textId="77777777" w:rsidR="000D1F58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桂龙药业OTC年轻化拉新，即看即购饿了么送药到家</w:t>
      </w:r>
    </w:p>
    <w:p w14:paraId="51FB1903" w14:textId="77777777" w:rsidR="000D1F5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：桂龙药业</w:t>
      </w:r>
    </w:p>
    <w:p w14:paraId="28FB648E" w14:textId="77777777" w:rsidR="000D1F5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：医药保健</w:t>
      </w:r>
    </w:p>
    <w:p w14:paraId="4F4D549B" w14:textId="0F707E6B" w:rsidR="000D1F5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</w:t>
      </w:r>
      <w:r w:rsidR="00B60CA9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9-2022.10</w:t>
      </w:r>
    </w:p>
    <w:p w14:paraId="64B3A0EA" w14:textId="45CCA5C3" w:rsidR="000D1F58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B60CA9" w:rsidRPr="00B60CA9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21022D55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B91E108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 新人群涌现</w:t>
      </w:r>
      <w:r>
        <w:rPr>
          <w:rFonts w:ascii="微软雅黑" w:eastAsia="微软雅黑" w:hAnsi="微软雅黑" w:hint="eastAsia"/>
          <w:sz w:val="21"/>
          <w:szCs w:val="21"/>
        </w:rPr>
        <w:t>：随着生活节奏的变快，国民的生活方式和环境发生改变，咽炎逐渐呈现处年轻化的趋势。Z世代的咽炎患者相对较高，占比50%以上。</w:t>
      </w:r>
    </w:p>
    <w:p w14:paraId="5672D0DD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 OTC需求增长</w:t>
      </w:r>
      <w:r>
        <w:rPr>
          <w:rFonts w:ascii="微软雅黑" w:eastAsia="微软雅黑" w:hAnsi="微软雅黑" w:hint="eastAsia"/>
          <w:sz w:val="21"/>
          <w:szCs w:val="21"/>
        </w:rPr>
        <w:t>：在疫情的催化下，Z世代自我药疗意识和水平得到极大提升，对OTC的需求快速增长。</w:t>
      </w:r>
    </w:p>
    <w:p w14:paraId="0DC389ED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 新渠道变化</w:t>
      </w:r>
      <w:r>
        <w:rPr>
          <w:rFonts w:ascii="微软雅黑" w:eastAsia="微软雅黑" w:hAnsi="微软雅黑" w:hint="eastAsia"/>
          <w:sz w:val="21"/>
          <w:szCs w:val="21"/>
        </w:rPr>
        <w:t>：年轻人成为购药群体随之对购药渠道也产生了变化，更便利的医药O2O成为重要的年轻购药方式，品牌需拓展新渠道，方能承接年轻购药需求。</w:t>
      </w:r>
    </w:p>
    <w:p w14:paraId="218F0232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653FB61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1. 新人群拉新：</w:t>
      </w:r>
      <w:r>
        <w:rPr>
          <w:rFonts w:ascii="微软雅黑" w:eastAsia="微软雅黑" w:hAnsi="微软雅黑" w:hint="eastAsia"/>
          <w:sz w:val="21"/>
          <w:szCs w:val="21"/>
        </w:rPr>
        <w:t>购药人群破圈覆盖，年轻Z世代和白领人群拉新，实现品牌新增量。</w:t>
      </w:r>
    </w:p>
    <w:p w14:paraId="5EDF6917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2. 新渠道拓展</w:t>
      </w:r>
      <w:r>
        <w:rPr>
          <w:rFonts w:ascii="微软雅黑" w:eastAsia="微软雅黑" w:hAnsi="微软雅黑" w:hint="eastAsia"/>
          <w:sz w:val="21"/>
          <w:szCs w:val="21"/>
        </w:rPr>
        <w:t>：拉通医药O2O渠道，打通年轻购药后链路，实现品牌营销品效合一。</w:t>
      </w:r>
    </w:p>
    <w:p w14:paraId="3BCF81AE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2AEC063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在咽喉炎不断年轻化的当下，Z世代、白领人群成为桂龙药业慢严舒柠的增量用户群体。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桂龙药业通过优酷内生定投产品，覆盖更年轻、更有消费力的优酷会员群体，并拉通医药O2O后链路-饿了么买药，做到即看即购，完成品效合一营销。</w:t>
      </w:r>
    </w:p>
    <w:p w14:paraId="25175714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lastRenderedPageBreak/>
        <w:drawing>
          <wp:inline distT="0" distB="0" distL="114300" distR="114300" wp14:anchorId="2010768B" wp14:editId="32A074A9">
            <wp:extent cx="5717540" cy="3216275"/>
            <wp:effectExtent l="0" t="0" r="10160" b="952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6E30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1、优酷内生定投，高价值会员人群拉新</w:t>
      </w:r>
    </w:p>
    <w:p w14:paraId="0CB3EBB3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在9-10月秋冬换季的咽喉炎高发季节，桂龙通投优酷内生定投智多星，投放电视剧频道，会员+非会员覆盖全覆盖，实现年轻群体拉新效率最大化。</w:t>
      </w:r>
    </w:p>
    <w:p w14:paraId="6D65F7B5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 2、医药行业首个品牌头条投放，药品功效TVC完整传递</w:t>
      </w:r>
    </w:p>
    <w:p w14:paraId="7BDCD81B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药品对比其他产品具有特殊性，需通过TVC的形式完成药品功效和主治人群的完整传达，桂龙通过播放15sTVC的品牌头条广告形式，对年轻群体进行深度产品教育，强化品牌记忆度和信赖度。</w:t>
      </w:r>
    </w:p>
    <w:p w14:paraId="625B7FAA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50A839C8" wp14:editId="60BD84F2">
            <wp:extent cx="3810000" cy="2857500"/>
            <wp:effectExtent l="0" t="0" r="0" b="0"/>
            <wp:docPr id="2" name="图片 2" descr="桂龙X内生定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桂龙X内生定投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D8056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3、饿了么买药联动，打通医药后链路</w:t>
      </w:r>
    </w:p>
    <w:p w14:paraId="31714C71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点击品牌广告实现饿了么品牌专题页跳转承接，同时撬动秋冬好药主题会场资源，实现品牌人群和品类人群双向引流，带动桂龙药业医药O2O渠道起飞。</w:t>
      </w:r>
    </w:p>
    <w:p w14:paraId="628E65CA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BE3CEF4" w14:textId="3CD4DCEE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 w:rsidR="00B60CA9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内生定投智多星-医药行业首个品牌头条投放，15STVC完整传达功效，右下角引导点击，跳转饿了么品牌专题页购买同款好药，实现品牌向引流和转化引导。</w:t>
      </w:r>
    </w:p>
    <w:p w14:paraId="3D870E94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1A22934" wp14:editId="2513A24F">
            <wp:extent cx="5711190" cy="3190875"/>
            <wp:effectExtent l="0" t="0" r="3810" b="952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167E" w14:textId="44CF0069" w:rsidR="000D1F58" w:rsidRDefault="00B60CA9" w:rsidP="00B60CA9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000000">
        <w:rPr>
          <w:rFonts w:ascii="微软雅黑" w:eastAsia="微软雅黑" w:hAnsi="微软雅黑" w:hint="eastAsia"/>
          <w:sz w:val="21"/>
          <w:szCs w:val="21"/>
        </w:rPr>
        <w:t>品牌曝光展示饿了么联合logo，置换饿了么站内品类会场资源，与GSK等国际药企共享“秋冬常备好药”会场。围绕用户行为全链路联合曝光，并撬动会场坑位资源，实现单品向高效引流。</w:t>
      </w:r>
    </w:p>
    <w:p w14:paraId="1F368145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7D46722F" wp14:editId="12976BD7">
            <wp:extent cx="5715635" cy="3061335"/>
            <wp:effectExtent l="0" t="0" r="12065" b="12065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9EEF7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5D212FDD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投放效果：高曝光量、强年轻拉新、强后链路转化效果</w:t>
      </w:r>
    </w:p>
    <w:p w14:paraId="5D362755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 内容场：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曝光量破亿</w:t>
      </w:r>
      <w:r>
        <w:rPr>
          <w:rFonts w:ascii="微软雅黑" w:eastAsia="微软雅黑" w:hAnsi="微软雅黑" w:hint="eastAsia"/>
          <w:sz w:val="21"/>
          <w:szCs w:val="21"/>
        </w:rPr>
        <w:t>，品牌高效曝光；UV的点击率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高于4%</w:t>
      </w:r>
      <w:r>
        <w:rPr>
          <w:rFonts w:ascii="微软雅黑" w:eastAsia="微软雅黑" w:hAnsi="微软雅黑" w:hint="eastAsia"/>
          <w:sz w:val="21"/>
          <w:szCs w:val="21"/>
        </w:rPr>
        <w:t>，互动效果强。（优酷内部数据）</w:t>
      </w:r>
    </w:p>
    <w:p w14:paraId="018FDB93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 年轻新客，强拉新：曝光UV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新客比例高达99.99%</w:t>
      </w:r>
      <w:r>
        <w:rPr>
          <w:rFonts w:ascii="微软雅黑" w:eastAsia="微软雅黑" w:hAnsi="微软雅黑" w:hint="eastAsia"/>
          <w:sz w:val="21"/>
          <w:szCs w:val="21"/>
        </w:rPr>
        <w:t>，18-34岁年轻群体的占比达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60%</w:t>
      </w:r>
      <w:r>
        <w:rPr>
          <w:rFonts w:ascii="微软雅黑" w:eastAsia="微软雅黑" w:hAnsi="微软雅黑" w:hint="eastAsia"/>
          <w:sz w:val="21"/>
          <w:szCs w:val="21"/>
        </w:rPr>
        <w:t>。（优酷内部数据，180天未购买视为品牌新客）</w:t>
      </w:r>
    </w:p>
    <w:p w14:paraId="06E734E7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 后链路高效转化：桂龙药业饿了么品牌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GMV提升＞15%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EE5329F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案例对OTC行业投放的可复制性强：</w:t>
      </w:r>
    </w:p>
    <w:p w14:paraId="69D3E5A6" w14:textId="77777777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 在医药行业“处转非”政策下，大量新进者流入市场，OTC行业竞争愈加激烈，OTC知名品牌亟待市场维稳。品牌头条覆盖优酷高价值会员人群，通过TVC完整播放深度透传优势地位和核心卖点，是OTC品牌提升声量、夯实好感度的有力途径。</w:t>
      </w:r>
    </w:p>
    <w:p w14:paraId="75D26517" w14:textId="5001ED60" w:rsidR="000D1F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 后疫情时代，即时用药需求增长，医药O2O发展提速，是医药行业普遍关注的医药新零售渠道，借助优酷可实现内容场和医药O2O的渠道打通。</w:t>
      </w:r>
    </w:p>
    <w:p w14:paraId="237D1E77" w14:textId="77777777" w:rsidR="000D1F58" w:rsidRPr="00B60C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60CA9">
        <w:rPr>
          <w:rFonts w:ascii="微软雅黑" w:eastAsia="微软雅黑" w:hAnsi="微软雅黑" w:hint="eastAsia"/>
          <w:b/>
          <w:bCs/>
          <w:sz w:val="21"/>
          <w:szCs w:val="21"/>
        </w:rPr>
        <w:t>视频</w:t>
      </w:r>
    </w:p>
    <w:p w14:paraId="12068B08" w14:textId="661BEF1A" w:rsidR="000D1F58" w:rsidRDefault="00B60CA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2" w:history="1">
        <w:r w:rsidRPr="00FB438A">
          <w:rPr>
            <w:rStyle w:val="af4"/>
            <w:rFonts w:ascii="微软雅黑" w:eastAsia="微软雅黑" w:hAnsi="微软雅黑" w:hint="eastAsia"/>
            <w:sz w:val="21"/>
            <w:szCs w:val="21"/>
          </w:rPr>
          <w:t>https://v.youku.com/v_show/id_XNTkzNDUyNjQzMg==.html</w:t>
        </w:r>
      </w:hyperlink>
    </w:p>
    <w:p w14:paraId="3ED13524" w14:textId="77777777" w:rsidR="00B60CA9" w:rsidRPr="00B60CA9" w:rsidRDefault="00B60CA9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</w:p>
    <w:sectPr w:rsidR="00B60CA9" w:rsidRPr="00B60CA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6C04C" w14:textId="77777777" w:rsidR="007F014B" w:rsidRDefault="007F014B">
      <w:r>
        <w:separator/>
      </w:r>
    </w:p>
  </w:endnote>
  <w:endnote w:type="continuationSeparator" w:id="0">
    <w:p w14:paraId="3131C7F8" w14:textId="77777777" w:rsidR="007F014B" w:rsidRDefault="007F0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CBB0F" w14:textId="77777777" w:rsidR="000D1F58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D20ED9E" w14:textId="77777777" w:rsidR="000D1F58" w:rsidRDefault="000D1F58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D6FE6" w14:textId="77777777" w:rsidR="000D1F58" w:rsidRDefault="000D1F58">
    <w:pPr>
      <w:pStyle w:val="a9"/>
      <w:framePr w:wrap="around" w:vAnchor="text" w:hAnchor="margin" w:xAlign="right" w:y="1"/>
      <w:rPr>
        <w:rStyle w:val="af2"/>
      </w:rPr>
    </w:pPr>
  </w:p>
  <w:p w14:paraId="6D2AACDC" w14:textId="77777777" w:rsidR="000D1F58" w:rsidRDefault="000D1F58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EA2BD" w14:textId="77777777" w:rsidR="000D1F58" w:rsidRDefault="000D1F5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62D11" w14:textId="77777777" w:rsidR="007F014B" w:rsidRDefault="007F014B">
      <w:r>
        <w:separator/>
      </w:r>
    </w:p>
  </w:footnote>
  <w:footnote w:type="continuationSeparator" w:id="0">
    <w:p w14:paraId="4BB857FB" w14:textId="77777777" w:rsidR="007F014B" w:rsidRDefault="007F0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2BC55" w14:textId="77777777" w:rsidR="000D1F58" w:rsidRDefault="000D1F5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988EC" w14:textId="77777777" w:rsidR="000D1F58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FA5A835" wp14:editId="2132E10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DEEE5" w14:textId="77777777" w:rsidR="000D1F58" w:rsidRDefault="000D1F5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6EA3869"/>
    <w:multiLevelType w:val="singleLevel"/>
    <w:tmpl w:val="D6EA3869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 w16cid:durableId="1943872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GYwYTMzMDE4ZTU4MTM4MjE3NTNhZjEwYTk5N2YzOWY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1F58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014B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0CA9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1A0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4B3A9D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B60C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.youku.com/v_show/id_XNTkzNDUyNjQzMg==.htm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218</Words>
  <Characters>1243</Characters>
  <Application>Microsoft Office Word</Application>
  <DocSecurity>0</DocSecurity>
  <Lines>10</Lines>
  <Paragraphs>2</Paragraphs>
  <ScaleCrop>false</ScaleCrop>
  <Company>WWW.YlmF.CoM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2023-02-16T02:04:00Z</dcterms:created>
  <dcterms:modified xsi:type="dcterms:W3CDTF">2023-02-16T02:04:00Z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E62EE31C0BE24D079ED3C26EA2AC8B0A</vt:lpwstr>
  </property>
</Properties>
</file>