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A7CDC5" w14:textId="77777777" w:rsidR="00035066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0"/>
          <w:szCs w:val="30"/>
        </w:rPr>
      </w:pPr>
      <w:r>
        <w:rPr>
          <w:rFonts w:ascii="微软雅黑" w:eastAsia="微软雅黑" w:hAnsi="微软雅黑" w:cs="Times New Roman" w:hint="eastAsia"/>
          <w:b/>
          <w:sz w:val="30"/>
          <w:szCs w:val="30"/>
        </w:rPr>
        <w:t>健民药业携手《沉香如屑》渗透妈妈群体，多元互动打破营销边界</w:t>
      </w:r>
    </w:p>
    <w:p w14:paraId="788DB449" w14:textId="77777777" w:rsidR="0003506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：健民药业</w:t>
      </w:r>
    </w:p>
    <w:p w14:paraId="6F4A5DC9" w14:textId="77777777" w:rsidR="0003506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12FCDF3C" w14:textId="4D563D2F" w:rsidR="0003506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E361A3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7-</w:t>
      </w:r>
      <w:r w:rsidR="00E361A3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0A0CB3FA" w14:textId="3D5E9783" w:rsidR="0003506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361A3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1166BE2B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D9A1FA2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当代年轻妈妈对小孩的健康重视度持续提高，儿童用药需求增长。</w:t>
      </w:r>
    </w:p>
    <w:p w14:paraId="0CBC638B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妈妈人群年轻化，健民药业需通过女性高浓度IP，深度触达妈妈群体。</w:t>
      </w:r>
    </w:p>
    <w:p w14:paraId="32438F3C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正值暑假期间，小孩在家不爱吃饭的问题凸显，健民需求高峰期应运曝光。</w:t>
      </w:r>
    </w:p>
    <w:p w14:paraId="64DAAC10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407D5A7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 年轻妈妈人群拉新：</w:t>
      </w:r>
      <w:r>
        <w:rPr>
          <w:rFonts w:ascii="微软雅黑" w:eastAsia="微软雅黑" w:hAnsi="微软雅黑" w:hint="eastAsia"/>
          <w:sz w:val="21"/>
          <w:szCs w:val="21"/>
        </w:rPr>
        <w:t>借助女性高浓度IP，高效触达年轻妈妈群体。</w:t>
      </w:r>
    </w:p>
    <w:p w14:paraId="2B9C3A77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 夯实垂类药品标杆形象</w:t>
      </w:r>
      <w:r>
        <w:rPr>
          <w:rFonts w:ascii="微软雅黑" w:eastAsia="微软雅黑" w:hAnsi="微软雅黑" w:hint="eastAsia"/>
          <w:sz w:val="21"/>
          <w:szCs w:val="21"/>
        </w:rPr>
        <w:t>：在曝光基础上进一步强化用户交互，夯实龙牡壮骨颗粒儿童好药形象。</w:t>
      </w:r>
    </w:p>
    <w:p w14:paraId="237BB60F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C041438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代年轻妈妈对小孩的健康重视度持续提高，健民药业龙牡壮骨颗粒携手古装剧《沉香如屑》，通过片中标板、角标等形式，对妈妈群体实现深度曝光，并通过电商主题会场和线下游园会活动，和IP人群与妈妈群体实现深度交互，有效实现妈妈群体新客触达和医药电商后链路互动。</w:t>
      </w:r>
    </w:p>
    <w:p w14:paraId="2388A015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6D49395" wp14:editId="042EBBEF">
            <wp:extent cx="5712460" cy="3213735"/>
            <wp:effectExtent l="0" t="0" r="2540" b="120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0325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1、聚焦剧中广告形式，独占性视觉垄断品牌记忆</w:t>
      </w:r>
    </w:p>
    <w:p w14:paraId="6FEF8126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片中标板+角标合作形式，独占性视觉体验，有效深化品牌记忆度。</w:t>
      </w:r>
    </w:p>
    <w:p w14:paraId="523A7F6C" w14:textId="2BE4C288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2、IP主题会场联动，医药电商进店引流，品牌私域用户沉淀</w:t>
      </w:r>
    </w:p>
    <w:p w14:paraId="29372C60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联动了电商“极有家”IP主题会场，借助专题页曝光引流坑位+页面互动任务，为品牌旗舰店蓄水导流。</w:t>
      </w:r>
    </w:p>
    <w:p w14:paraId="44AE260F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3、打破传统医药营销边界，线下游园会趣味交互赢得品牌好感度和偏爱度</w:t>
      </w:r>
    </w:p>
    <w:p w14:paraId="67F6D65A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参与线下活动“上海豫园快闪”，在现场设置专属摊位“龙牡少年门”，玩游戏即可获得IP周边，趣味互动收获现场用户的品牌好感度。</w:t>
      </w:r>
    </w:p>
    <w:p w14:paraId="038A30C9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77E4CAF" w14:textId="77777777" w:rsidR="0003506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聚焦剧内广告形式，</w:t>
      </w:r>
      <w:r>
        <w:rPr>
          <w:rFonts w:ascii="微软雅黑" w:eastAsia="微软雅黑" w:hAnsi="微软雅黑" w:hint="eastAsia"/>
          <w:sz w:val="21"/>
          <w:szCs w:val="21"/>
        </w:rPr>
        <w:t>投放《沉香如屑》片中标板+品牌角标，剧内独占性视觉+剧情高光时刻共曝光，有效强化健民药业的品牌记忆度。</w:t>
      </w:r>
    </w:p>
    <w:p w14:paraId="7350C238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FEC7C85" wp14:editId="7E71B2BC">
            <wp:extent cx="5667375" cy="2919095"/>
            <wp:effectExtent l="0" t="0" r="9525" b="190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C6B7" w14:textId="77777777" w:rsidR="0003506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联动了电商“极有家”IP主题会场，</w:t>
      </w:r>
      <w:r>
        <w:rPr>
          <w:rFonts w:ascii="微软雅黑" w:eastAsia="微软雅黑" w:hAnsi="微软雅黑" w:hint="eastAsia"/>
          <w:sz w:val="21"/>
          <w:szCs w:val="21"/>
        </w:rPr>
        <w:t>健民药业化身为“仙气十足的梦中情屋”的同款好物，借助专题页曝光引流坑位+页面互动任务，为品牌旗舰店蓄水导流。</w:t>
      </w:r>
    </w:p>
    <w:p w14:paraId="02CF5BBC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AE2CDE1" wp14:editId="1A012D0C">
            <wp:extent cx="5715000" cy="3054350"/>
            <wp:effectExtent l="0" t="0" r="0" b="635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FB82" w14:textId="77777777" w:rsidR="00035066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参与线下活动“上海豫园快闪”</w:t>
      </w:r>
      <w:r>
        <w:rPr>
          <w:rFonts w:ascii="微软雅黑" w:eastAsia="微软雅黑" w:hAnsi="微软雅黑" w:hint="eastAsia"/>
          <w:sz w:val="21"/>
          <w:szCs w:val="21"/>
        </w:rPr>
        <w:t>，在现场设置专属摊位“龙牡少年门”，与现场观众趣味互动。玩投壶、问答等游戏即可获得IP周边，赢得现场用户的品牌好感。</w:t>
      </w:r>
    </w:p>
    <w:p w14:paraId="3C039D9E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A29E606" wp14:editId="746A44A6">
            <wp:extent cx="5713730" cy="3164205"/>
            <wp:effectExtent l="0" t="0" r="1270" b="1079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9CBF" w14:textId="77777777" w:rsidR="0003506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204503C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投放效果：新客强曝光、妈妈人群强触达、线上线下强互动</w:t>
      </w:r>
    </w:p>
    <w:p w14:paraId="0A86E996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1.新客强曝光：曝光UV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新客占比99%</w:t>
      </w:r>
      <w:r>
        <w:rPr>
          <w:rFonts w:ascii="微软雅黑" w:eastAsia="微软雅黑" w:hAnsi="微软雅黑" w:hint="eastAsia"/>
          <w:sz w:val="21"/>
          <w:szCs w:val="21"/>
        </w:rPr>
        <w:t>，电商互动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新客占比97%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4BBE685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2.妈妈人群强触达：女性占比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73%</w:t>
      </w:r>
      <w:r>
        <w:rPr>
          <w:rFonts w:ascii="微软雅黑" w:eastAsia="微软雅黑" w:hAnsi="微软雅黑" w:hint="eastAsia"/>
          <w:sz w:val="21"/>
          <w:szCs w:val="21"/>
        </w:rPr>
        <w:t>，已育人群占比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70%</w:t>
      </w:r>
      <w:r>
        <w:rPr>
          <w:rFonts w:ascii="微软雅黑" w:eastAsia="微软雅黑" w:hAnsi="微软雅黑" w:hint="eastAsia"/>
          <w:sz w:val="21"/>
          <w:szCs w:val="21"/>
        </w:rPr>
        <w:t>，淘宝偏好人群的家庭主妇曝光占比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63%，</w:t>
      </w:r>
      <w:r>
        <w:rPr>
          <w:rFonts w:ascii="微软雅黑" w:eastAsia="微软雅黑" w:hAnsi="微软雅黑" w:hint="eastAsia"/>
          <w:sz w:val="21"/>
          <w:szCs w:val="21"/>
        </w:rPr>
        <w:t>精致妈妈人群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TGI指数135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7878402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3.线上线下强互动：电商-淘内搜索/浏览/点击/收藏/加购等总互动次数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7.6万次</w:t>
      </w:r>
      <w:r>
        <w:rPr>
          <w:rFonts w:ascii="微软雅黑" w:eastAsia="微软雅黑" w:hAnsi="微软雅黑" w:hint="eastAsia"/>
          <w:sz w:val="21"/>
          <w:szCs w:val="21"/>
        </w:rPr>
        <w:t>，极有家IP主题会场带来曝光UV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2800万</w:t>
      </w:r>
      <w:r>
        <w:rPr>
          <w:rFonts w:ascii="微软雅黑" w:eastAsia="微软雅黑" w:hAnsi="微软雅黑" w:hint="eastAsia"/>
          <w:sz w:val="21"/>
          <w:szCs w:val="21"/>
        </w:rPr>
        <w:t>，会场参与人次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百万次</w:t>
      </w:r>
      <w:r>
        <w:rPr>
          <w:rFonts w:ascii="微软雅黑" w:eastAsia="微软雅黑" w:hAnsi="微软雅黑" w:hint="eastAsia"/>
          <w:sz w:val="21"/>
          <w:szCs w:val="21"/>
        </w:rPr>
        <w:t>；线下-游园会游客数量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12.2万人</w:t>
      </w:r>
      <w:r>
        <w:rPr>
          <w:rFonts w:ascii="微软雅黑" w:eastAsia="微软雅黑" w:hAnsi="微软雅黑" w:hint="eastAsia"/>
          <w:sz w:val="21"/>
          <w:szCs w:val="21"/>
        </w:rPr>
        <w:t>，活动强交互。</w:t>
      </w:r>
    </w:p>
    <w:p w14:paraId="54E03F21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（数据来源：优酷内部数据）</w:t>
      </w:r>
    </w:p>
    <w:p w14:paraId="39E2BF3D" w14:textId="77777777" w:rsidR="0003506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2BD897A8" wp14:editId="2F3ECB8B">
            <wp:extent cx="5712460" cy="3222625"/>
            <wp:effectExtent l="0" t="0" r="2540" b="317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505D" w14:textId="77777777" w:rsidR="00035066" w:rsidRPr="00E361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61A3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</w:p>
    <w:p w14:paraId="0E4AEB63" w14:textId="0C594862" w:rsidR="00035066" w:rsidRDefault="00E361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3" w:history="1">
        <w:r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https://v.youku.com/v_show/id_XNTkzMzcyMTY4NA==.html</w:t>
        </w:r>
      </w:hyperlink>
    </w:p>
    <w:p w14:paraId="2AE8CC0D" w14:textId="77777777" w:rsidR="00E361A3" w:rsidRPr="00E361A3" w:rsidRDefault="00E361A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p w14:paraId="75EF9582" w14:textId="77777777" w:rsidR="00E361A3" w:rsidRPr="00E361A3" w:rsidRDefault="00E361A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p w14:paraId="6B34E225" w14:textId="77777777" w:rsidR="00035066" w:rsidRDefault="0003506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0350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57C81" w14:textId="77777777" w:rsidR="00685355" w:rsidRDefault="00685355">
      <w:r>
        <w:separator/>
      </w:r>
    </w:p>
  </w:endnote>
  <w:endnote w:type="continuationSeparator" w:id="0">
    <w:p w14:paraId="28C41E4D" w14:textId="77777777" w:rsidR="00685355" w:rsidRDefault="00685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5F97" w14:textId="77777777" w:rsidR="0003506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510CEA5" w14:textId="77777777" w:rsidR="00035066" w:rsidRDefault="0003506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A644C" w14:textId="77777777" w:rsidR="00035066" w:rsidRDefault="00035066">
    <w:pPr>
      <w:pStyle w:val="a9"/>
      <w:framePr w:wrap="around" w:vAnchor="text" w:hAnchor="margin" w:xAlign="right" w:y="1"/>
      <w:rPr>
        <w:rStyle w:val="af2"/>
      </w:rPr>
    </w:pPr>
  </w:p>
  <w:p w14:paraId="103680D1" w14:textId="77777777" w:rsidR="00035066" w:rsidRDefault="0003506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8ED1" w14:textId="77777777" w:rsidR="00035066" w:rsidRDefault="0003506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D7B03" w14:textId="77777777" w:rsidR="00685355" w:rsidRDefault="00685355">
      <w:r>
        <w:separator/>
      </w:r>
    </w:p>
  </w:footnote>
  <w:footnote w:type="continuationSeparator" w:id="0">
    <w:p w14:paraId="33D951FD" w14:textId="77777777" w:rsidR="00685355" w:rsidRDefault="00685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00E5" w14:textId="77777777" w:rsidR="00035066" w:rsidRDefault="0003506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9ED09" w14:textId="77777777" w:rsidR="0003506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81D619" wp14:editId="57FF6CF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D370" w14:textId="77777777" w:rsidR="00035066" w:rsidRDefault="0003506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0AB6CC"/>
    <w:multiLevelType w:val="singleLevel"/>
    <w:tmpl w:val="D20AB6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937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3506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55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61A3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4C9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1F42E8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E36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youku.com/v_show/id_XNTkzMzcyMTY4NA==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182</Words>
  <Characters>1041</Characters>
  <Application>Microsoft Office Word</Application>
  <DocSecurity>0</DocSecurity>
  <Lines>8</Lines>
  <Paragraphs>2</Paragraphs>
  <ScaleCrop>false</ScaleCrop>
  <Company>WWW.YlmF.CoM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2023-02-16T01:44:00Z</dcterms:created>
  <dcterms:modified xsi:type="dcterms:W3CDTF">2023-02-16T01:44:00Z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C1AADACE68824AE185828CD891BED3AD</vt:lpwstr>
  </property>
</Properties>
</file>