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192303" w14:textId="77777777" w:rsidR="0038608D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平安证券短视频创意营销</w:t>
      </w:r>
    </w:p>
    <w:p w14:paraId="0860F83E" w14:textId="77777777" w:rsidR="0038608D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：平安证券</w:t>
      </w:r>
    </w:p>
    <w:p w14:paraId="0B202750" w14:textId="1B80B708" w:rsidR="0038608D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9025C">
        <w:rPr>
          <w:rFonts w:ascii="微软雅黑" w:eastAsia="微软雅黑" w:hAnsi="微软雅黑" w:hint="eastAsia"/>
          <w:sz w:val="21"/>
          <w:szCs w:val="21"/>
        </w:rPr>
        <w:t>金融</w:t>
      </w:r>
      <w:r>
        <w:rPr>
          <w:rFonts w:ascii="微软雅黑" w:eastAsia="微软雅黑" w:hAnsi="微软雅黑" w:hint="eastAsia"/>
          <w:sz w:val="21"/>
          <w:szCs w:val="21"/>
        </w:rPr>
        <w:t>业</w:t>
      </w:r>
    </w:p>
    <w:p w14:paraId="6B90D1CC" w14:textId="606C18E4" w:rsidR="0038608D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</w:t>
      </w:r>
      <w:r w:rsidR="00F9025C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.01.01-12.31</w:t>
      </w:r>
    </w:p>
    <w:p w14:paraId="2DCD5F9E" w14:textId="349BF92F" w:rsidR="0038608D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9025C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1299FCD5" w14:textId="77777777" w:rsidR="0038608D" w:rsidRDefault="00000000">
      <w:pPr>
        <w:spacing w:beforeLines="100" w:before="240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8854561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根据《2022年中国数字营销趋势报告》，短视频已经成为未来最受关注的营销形式Top1。短视频内容</w:t>
      </w:r>
      <w:proofErr w:type="gramStart"/>
      <w:r>
        <w:rPr>
          <w:rFonts w:ascii="微软雅黑" w:eastAsia="微软雅黑" w:hAnsi="微软雅黑"/>
          <w:sz w:val="21"/>
          <w:szCs w:val="21"/>
        </w:rPr>
        <w:t>营销迎势增长</w:t>
      </w:r>
      <w:proofErr w:type="gramEnd"/>
      <w:r>
        <w:rPr>
          <w:rFonts w:ascii="微软雅黑" w:eastAsia="微软雅黑" w:hAnsi="微软雅黑"/>
          <w:sz w:val="21"/>
          <w:szCs w:val="21"/>
        </w:rPr>
        <w:t>，成为品牌营销核心驱动，本质上体现了用户注意力明显迁移到短视频内容领域。随着流量入口的争夺愈发激烈，眼下证券行业内容生产</w:t>
      </w:r>
      <w:proofErr w:type="gramStart"/>
      <w:r>
        <w:rPr>
          <w:rFonts w:ascii="微软雅黑" w:eastAsia="微软雅黑" w:hAnsi="微软雅黑"/>
          <w:sz w:val="21"/>
          <w:szCs w:val="21"/>
        </w:rPr>
        <w:t>阵地正向短</w:t>
      </w:r>
      <w:proofErr w:type="gramEnd"/>
      <w:r>
        <w:rPr>
          <w:rFonts w:ascii="微软雅黑" w:eastAsia="微软雅黑" w:hAnsi="微软雅黑"/>
          <w:sz w:val="21"/>
          <w:szCs w:val="21"/>
        </w:rPr>
        <w:t>视频平台密集转移。</w:t>
      </w:r>
      <w:proofErr w:type="gramStart"/>
      <w:r>
        <w:rPr>
          <w:rFonts w:ascii="微软雅黑" w:eastAsia="微软雅黑" w:hAnsi="微软雅黑"/>
          <w:sz w:val="21"/>
          <w:szCs w:val="21"/>
        </w:rPr>
        <w:t>挖掘自</w:t>
      </w:r>
      <w:proofErr w:type="gramEnd"/>
      <w:r>
        <w:rPr>
          <w:rFonts w:ascii="微软雅黑" w:eastAsia="微软雅黑" w:hAnsi="微软雅黑"/>
          <w:sz w:val="21"/>
          <w:szCs w:val="21"/>
        </w:rPr>
        <w:t>媒体渠道、娱乐</w:t>
      </w:r>
      <w:proofErr w:type="gramStart"/>
      <w:r>
        <w:rPr>
          <w:rFonts w:ascii="微软雅黑" w:eastAsia="微软雅黑" w:hAnsi="微软雅黑"/>
          <w:sz w:val="21"/>
          <w:szCs w:val="21"/>
        </w:rPr>
        <w:t>化投教</w:t>
      </w:r>
      <w:proofErr w:type="gramEnd"/>
      <w:r>
        <w:rPr>
          <w:rFonts w:ascii="微软雅黑" w:eastAsia="微软雅黑" w:hAnsi="微软雅黑"/>
          <w:sz w:val="21"/>
          <w:szCs w:val="21"/>
        </w:rPr>
        <w:t>、精细化运营，成为券商继续丰富新媒体内容生态的新方向。</w:t>
      </w:r>
    </w:p>
    <w:p w14:paraId="6BC37772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得益于庞大的流量红利，券商</w:t>
      </w:r>
      <w:proofErr w:type="gramStart"/>
      <w:r>
        <w:rPr>
          <w:rFonts w:ascii="微软雅黑" w:eastAsia="微软雅黑" w:hAnsi="微软雅黑"/>
          <w:sz w:val="21"/>
          <w:szCs w:val="21"/>
        </w:rPr>
        <w:t>借助抖音财经</w:t>
      </w:r>
      <w:proofErr w:type="gramEnd"/>
      <w:r>
        <w:rPr>
          <w:rFonts w:ascii="微软雅黑" w:eastAsia="微软雅黑" w:hAnsi="微软雅黑"/>
          <w:sz w:val="21"/>
          <w:szCs w:val="21"/>
        </w:rPr>
        <w:t>生态扩大品牌效应的需求也与日俱增。从内容输出到流量变现，券商整体仍处于摸索的阶段。与此同时，</w:t>
      </w:r>
      <w:proofErr w:type="gramStart"/>
      <w:r>
        <w:rPr>
          <w:rFonts w:ascii="微软雅黑" w:eastAsia="微软雅黑" w:hAnsi="微软雅黑"/>
          <w:sz w:val="21"/>
          <w:szCs w:val="21"/>
        </w:rPr>
        <w:t>在抖音泛娱乐</w:t>
      </w:r>
      <w:proofErr w:type="gramEnd"/>
      <w:r>
        <w:rPr>
          <w:rFonts w:ascii="微软雅黑" w:eastAsia="微软雅黑" w:hAnsi="微软雅黑"/>
          <w:sz w:val="21"/>
          <w:szCs w:val="21"/>
        </w:rPr>
        <w:t>化的基因之下，金融、财经类内容存在“水土不服”的隐忧也不容忽视。如何</w:t>
      </w:r>
      <w:proofErr w:type="gramStart"/>
      <w:r>
        <w:rPr>
          <w:rFonts w:ascii="微软雅黑" w:eastAsia="微软雅黑" w:hAnsi="微软雅黑"/>
          <w:sz w:val="21"/>
          <w:szCs w:val="21"/>
        </w:rPr>
        <w:t>突破抖音号</w:t>
      </w:r>
      <w:proofErr w:type="gramEnd"/>
      <w:r>
        <w:rPr>
          <w:rFonts w:ascii="微软雅黑" w:eastAsia="微软雅黑" w:hAnsi="微软雅黑"/>
          <w:sz w:val="21"/>
          <w:szCs w:val="21"/>
        </w:rPr>
        <w:t>转化路径过长、目标客群不匹配、性价比低等运营瓶颈，进一步构建清晰的商业模式则更是考验。</w:t>
      </w:r>
    </w:p>
    <w:p w14:paraId="44CA4F1E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04A11BC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打造</w:t>
      </w:r>
      <w:proofErr w:type="gramStart"/>
      <w:r>
        <w:rPr>
          <w:rFonts w:ascii="微软雅黑" w:eastAsia="微软雅黑" w:hAnsi="微软雅黑"/>
          <w:sz w:val="21"/>
          <w:szCs w:val="21"/>
        </w:rPr>
        <w:t>品效合一获客</w:t>
      </w:r>
      <w:proofErr w:type="gramEnd"/>
      <w:r>
        <w:rPr>
          <w:rFonts w:ascii="微软雅黑" w:eastAsia="微软雅黑" w:hAnsi="微软雅黑"/>
          <w:sz w:val="21"/>
          <w:szCs w:val="21"/>
        </w:rPr>
        <w:t>阵地。平安证券以创意内容和直播的沉浸式体验为消费者带来高互动感，通过精细</w:t>
      </w:r>
      <w:proofErr w:type="gramStart"/>
      <w:r>
        <w:rPr>
          <w:rFonts w:ascii="微软雅黑" w:eastAsia="微软雅黑" w:hAnsi="微软雅黑"/>
          <w:sz w:val="21"/>
          <w:szCs w:val="21"/>
        </w:rPr>
        <w:t>化内容</w:t>
      </w:r>
      <w:proofErr w:type="gramEnd"/>
      <w:r>
        <w:rPr>
          <w:rFonts w:ascii="微软雅黑" w:eastAsia="微软雅黑" w:hAnsi="微软雅黑"/>
          <w:sz w:val="21"/>
          <w:szCs w:val="21"/>
        </w:rPr>
        <w:t>创作</w:t>
      </w:r>
      <w:proofErr w:type="gramStart"/>
      <w:r>
        <w:rPr>
          <w:rFonts w:ascii="微软雅黑" w:eastAsia="微软雅黑" w:hAnsi="微软雅黑"/>
          <w:sz w:val="21"/>
          <w:szCs w:val="21"/>
        </w:rPr>
        <w:t>盘活</w:t>
      </w:r>
      <w:r>
        <w:rPr>
          <w:rFonts w:ascii="微软雅黑" w:eastAsia="微软雅黑" w:hAnsi="微软雅黑" w:hint="eastAsia"/>
          <w:sz w:val="21"/>
          <w:szCs w:val="21"/>
        </w:rPr>
        <w:t>抖音</w:t>
      </w:r>
      <w:r>
        <w:rPr>
          <w:rFonts w:ascii="微软雅黑" w:eastAsia="微软雅黑" w:hAnsi="微软雅黑"/>
          <w:sz w:val="21"/>
          <w:szCs w:val="21"/>
        </w:rPr>
        <w:t>阵地</w:t>
      </w:r>
      <w:proofErr w:type="gramEnd"/>
      <w:r>
        <w:rPr>
          <w:rFonts w:ascii="微软雅黑" w:eastAsia="微软雅黑" w:hAnsi="微软雅黑"/>
          <w:sz w:val="21"/>
          <w:szCs w:val="21"/>
        </w:rPr>
        <w:t>，缩短用户与品牌的距离，形成强大的信任背书与认识基础，力争成为证券</w:t>
      </w:r>
      <w:r>
        <w:rPr>
          <w:rFonts w:ascii="微软雅黑" w:eastAsia="微软雅黑" w:hAnsi="微软雅黑" w:hint="eastAsia"/>
          <w:sz w:val="21"/>
          <w:szCs w:val="21"/>
        </w:rPr>
        <w:t>行业</w:t>
      </w:r>
      <w:r>
        <w:rPr>
          <w:rFonts w:ascii="微软雅黑" w:eastAsia="微软雅黑" w:hAnsi="微软雅黑"/>
          <w:sz w:val="21"/>
          <w:szCs w:val="21"/>
        </w:rPr>
        <w:t>短视频领域的综合第一。</w:t>
      </w:r>
    </w:p>
    <w:p w14:paraId="549718FC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3A66486" w14:textId="09FD05F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我们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以</w:t>
      </w:r>
      <w:r>
        <w:rPr>
          <w:rFonts w:ascii="微软雅黑" w:eastAsia="微软雅黑" w:hAnsi="微软雅黑"/>
          <w:sz w:val="21"/>
          <w:szCs w:val="21"/>
        </w:rPr>
        <w:t>抖音</w:t>
      </w:r>
      <w:r>
        <w:rPr>
          <w:rFonts w:ascii="微软雅黑" w:eastAsia="微软雅黑" w:hAnsi="微软雅黑" w:hint="eastAsia"/>
          <w:sz w:val="21"/>
          <w:szCs w:val="21"/>
        </w:rPr>
        <w:t>为主</w:t>
      </w:r>
      <w:proofErr w:type="gramEnd"/>
      <w:r>
        <w:rPr>
          <w:rFonts w:ascii="微软雅黑" w:eastAsia="微软雅黑" w:hAnsi="微软雅黑"/>
          <w:sz w:val="21"/>
          <w:szCs w:val="21"/>
        </w:rPr>
        <w:t>、视频号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快手</w:t>
      </w:r>
      <w:r>
        <w:rPr>
          <w:rFonts w:ascii="微软雅黑" w:eastAsia="微软雅黑" w:hAnsi="微软雅黑" w:hint="eastAsia"/>
          <w:sz w:val="21"/>
          <w:szCs w:val="21"/>
        </w:rPr>
        <w:t>为辅</w:t>
      </w:r>
      <w:r>
        <w:rPr>
          <w:rFonts w:ascii="微软雅黑" w:eastAsia="微软雅黑" w:hAnsi="微软雅黑"/>
          <w:sz w:val="21"/>
          <w:szCs w:val="21"/>
        </w:rPr>
        <w:t>，打造平安证券短视频内容矩阵。通过塑造IP人设、开设六大栏目打造内容垂直化，将短视频的娱乐性和金融的专业性</w:t>
      </w:r>
      <w:proofErr w:type="gramStart"/>
      <w:r>
        <w:rPr>
          <w:rFonts w:ascii="微软雅黑" w:eastAsia="微软雅黑" w:hAnsi="微软雅黑"/>
          <w:sz w:val="21"/>
          <w:szCs w:val="21"/>
        </w:rPr>
        <w:t>平衡得</w:t>
      </w:r>
      <w:proofErr w:type="gramEnd"/>
      <w:r>
        <w:rPr>
          <w:rFonts w:ascii="微软雅黑" w:eastAsia="微软雅黑" w:hAnsi="微软雅黑"/>
          <w:sz w:val="21"/>
          <w:szCs w:val="21"/>
        </w:rPr>
        <w:t>恰到好处，打造财经金融类短视频爆款，内容囊括理财知识、财经热点、</w:t>
      </w:r>
      <w:proofErr w:type="gramStart"/>
      <w:r>
        <w:rPr>
          <w:rFonts w:ascii="微软雅黑" w:eastAsia="微软雅黑" w:hAnsi="微软雅黑"/>
          <w:sz w:val="21"/>
          <w:szCs w:val="21"/>
        </w:rPr>
        <w:t>投教科普</w:t>
      </w:r>
      <w:proofErr w:type="gramEnd"/>
      <w:r>
        <w:rPr>
          <w:rFonts w:ascii="微软雅黑" w:eastAsia="微软雅黑" w:hAnsi="微软雅黑"/>
          <w:sz w:val="21"/>
          <w:szCs w:val="21"/>
        </w:rPr>
        <w:t>，成功</w:t>
      </w:r>
      <w:proofErr w:type="gramStart"/>
      <w:r>
        <w:rPr>
          <w:rFonts w:ascii="微软雅黑" w:eastAsia="微软雅黑" w:hAnsi="微软雅黑"/>
          <w:sz w:val="21"/>
          <w:szCs w:val="21"/>
        </w:rPr>
        <w:t>圈粉年轻</w:t>
      </w:r>
      <w:proofErr w:type="gramEnd"/>
      <w:r>
        <w:rPr>
          <w:rFonts w:ascii="微软雅黑" w:eastAsia="微软雅黑" w:hAnsi="微软雅黑"/>
          <w:sz w:val="21"/>
          <w:szCs w:val="21"/>
        </w:rPr>
        <w:t>投资者。</w:t>
      </w:r>
    </w:p>
    <w:p w14:paraId="616B2E83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7E43C84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平安证券利用4U法则，即Unique独特（打造独特的人</w:t>
      </w:r>
      <w:proofErr w:type="gramStart"/>
      <w:r>
        <w:rPr>
          <w:rFonts w:ascii="微软雅黑" w:eastAsia="微软雅黑" w:hAnsi="微软雅黑"/>
          <w:sz w:val="21"/>
          <w:szCs w:val="21"/>
        </w:rPr>
        <w:t>设形成</w:t>
      </w:r>
      <w:proofErr w:type="gramEnd"/>
      <w:r>
        <w:rPr>
          <w:rFonts w:ascii="微软雅黑" w:eastAsia="微软雅黑" w:hAnsi="微软雅黑"/>
          <w:sz w:val="21"/>
          <w:szCs w:val="21"/>
        </w:rPr>
        <w:t>品牌特色）、USEFUL有用（有价值、有收获，在最短时间内把重点说完）、Unexpected惊喜（悬念、新奇感，让用户快乐放松）、UNITE联合（善用KOL引流，品牌联动，1+1大于2），进行短视频内容的创作。</w:t>
      </w:r>
    </w:p>
    <w:p w14:paraId="39F2877E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内容创作上，我们将短视频的娱乐性和金融的专业性</w:t>
      </w:r>
      <w:proofErr w:type="gramStart"/>
      <w:r>
        <w:rPr>
          <w:rFonts w:ascii="微软雅黑" w:eastAsia="微软雅黑" w:hAnsi="微软雅黑"/>
          <w:sz w:val="21"/>
          <w:szCs w:val="21"/>
        </w:rPr>
        <w:t>平衡得</w:t>
      </w:r>
      <w:proofErr w:type="gramEnd"/>
      <w:r>
        <w:rPr>
          <w:rFonts w:ascii="微软雅黑" w:eastAsia="微软雅黑" w:hAnsi="微软雅黑"/>
          <w:sz w:val="21"/>
          <w:szCs w:val="21"/>
        </w:rPr>
        <w:t>恰到好处，通过追热点+</w:t>
      </w:r>
      <w:proofErr w:type="gramStart"/>
      <w:r>
        <w:rPr>
          <w:rFonts w:ascii="微软雅黑" w:eastAsia="微软雅黑" w:hAnsi="微软雅黑"/>
          <w:sz w:val="21"/>
          <w:szCs w:val="21"/>
        </w:rPr>
        <w:t>投教科普</w:t>
      </w:r>
      <w:proofErr w:type="gramEnd"/>
      <w:r>
        <w:rPr>
          <w:rFonts w:ascii="微软雅黑" w:eastAsia="微软雅黑" w:hAnsi="微软雅黑"/>
          <w:sz w:val="21"/>
          <w:szCs w:val="21"/>
        </w:rPr>
        <w:t>+剧情反转，成功</w:t>
      </w:r>
      <w:proofErr w:type="gramStart"/>
      <w:r>
        <w:rPr>
          <w:rFonts w:ascii="微软雅黑" w:eastAsia="微软雅黑" w:hAnsi="微软雅黑"/>
          <w:sz w:val="21"/>
          <w:szCs w:val="21"/>
        </w:rPr>
        <w:t>圈粉年轻</w:t>
      </w:r>
      <w:proofErr w:type="gramEnd"/>
      <w:r>
        <w:rPr>
          <w:rFonts w:ascii="微软雅黑" w:eastAsia="微软雅黑" w:hAnsi="微软雅黑"/>
          <w:sz w:val="21"/>
          <w:szCs w:val="21"/>
        </w:rPr>
        <w:t>投资者。平安证券短视频内容呈现多样化，</w:t>
      </w:r>
      <w:proofErr w:type="gramStart"/>
      <w:r>
        <w:rPr>
          <w:rFonts w:ascii="微软雅黑" w:eastAsia="微软雅黑" w:hAnsi="微软雅黑"/>
          <w:sz w:val="21"/>
          <w:szCs w:val="21"/>
        </w:rPr>
        <w:t>包括向卓别</w:t>
      </w:r>
      <w:proofErr w:type="gramEnd"/>
      <w:r>
        <w:rPr>
          <w:rFonts w:ascii="微软雅黑" w:eastAsia="微软雅黑" w:hAnsi="微软雅黑"/>
          <w:sz w:val="21"/>
          <w:szCs w:val="21"/>
        </w:rPr>
        <w:t>林《淘金记》、周星驰《喜剧之王》等经典影视作品致敬的“证券放映厅”；反映</w:t>
      </w:r>
      <w:proofErr w:type="gramStart"/>
      <w:r>
        <w:rPr>
          <w:rFonts w:ascii="微软雅黑" w:eastAsia="微软雅黑" w:hAnsi="微软雅黑"/>
          <w:sz w:val="21"/>
          <w:szCs w:val="21"/>
        </w:rPr>
        <w:t>都市社畜办公</w:t>
      </w:r>
      <w:proofErr w:type="gramEnd"/>
      <w:r>
        <w:rPr>
          <w:rFonts w:ascii="微软雅黑" w:eastAsia="微软雅黑" w:hAnsi="微软雅黑"/>
          <w:sz w:val="21"/>
          <w:szCs w:val="21"/>
        </w:rPr>
        <w:t>日常的“证券百乐门”，</w:t>
      </w:r>
      <w:r>
        <w:rPr>
          <w:rFonts w:ascii="微软雅黑" w:eastAsia="微软雅黑" w:hAnsi="微软雅黑"/>
          <w:sz w:val="21"/>
          <w:szCs w:val="21"/>
        </w:rPr>
        <w:lastRenderedPageBreak/>
        <w:t>搞怪、反转、悬疑、温情的戏码轮番上演；还有专注证券投资干货的“客服小剧场”，放送财经热点、民生话题的“财经小剧场”。</w:t>
      </w:r>
    </w:p>
    <w:p w14:paraId="2844CA10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平安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证券抖音首页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链接： </w:t>
      </w:r>
      <w:hyperlink r:id="rId7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https://v.douyin.co</w:t>
        </w:r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m</w:t>
        </w:r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/BV5VrdP/</w:t>
        </w:r>
      </w:hyperlink>
    </w:p>
    <w:p w14:paraId="720880C1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精选案例①：</w:t>
      </w:r>
      <w:hyperlink r:id="rId8" w:history="1"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证券淘金记_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哔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哩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哔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哩_bilibili</w:t>
        </w:r>
      </w:hyperlink>
    </w:p>
    <w:p w14:paraId="4B406E1D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精选案例②：</w:t>
      </w:r>
      <w:hyperlink r:id="rId9" w:history="1"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ETF实盘大赛_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哔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哩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哔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哩_bilibili</w:t>
        </w:r>
      </w:hyperlink>
    </w:p>
    <w:p w14:paraId="01CD2E13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精选案例③：</w:t>
      </w:r>
      <w:hyperlink r:id="rId10" w:history="1"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闻香识女人_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哔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哩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哔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哩_bilibili</w:t>
        </w:r>
      </w:hyperlink>
    </w:p>
    <w:p w14:paraId="376D32B8" w14:textId="66372D90" w:rsidR="0038608D" w:rsidRDefault="00A66022">
      <w:pPr>
        <w:spacing w:before="100" w:beforeAutospacing="1" w:after="100" w:afterAutospacing="1"/>
        <w:jc w:val="distribute"/>
        <w:textAlignment w:val="baseline"/>
        <w:rPr>
          <w:rFonts w:ascii="微软雅黑" w:eastAsia="微软雅黑" w:hAnsi="微软雅黑"/>
          <w:sz w:val="21"/>
          <w:szCs w:val="21"/>
        </w:rPr>
      </w:pPr>
      <w:r w:rsidRPr="00A66022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DDBE160" wp14:editId="6E2909D5">
            <wp:extent cx="5720715" cy="2037715"/>
            <wp:effectExtent l="0" t="0" r="0" b="635"/>
            <wp:docPr id="12" name="图片 12" descr="人不同表情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人不同表情的照片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8FF0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制作水平上，平安证券也是秉承专业呈现，</w:t>
      </w:r>
      <w:proofErr w:type="gramStart"/>
      <w:r>
        <w:rPr>
          <w:rFonts w:ascii="微软雅黑" w:eastAsia="微软雅黑" w:hAnsi="微软雅黑"/>
          <w:sz w:val="21"/>
          <w:szCs w:val="21"/>
        </w:rPr>
        <w:t>高颜值</w:t>
      </w:r>
      <w:proofErr w:type="gramEnd"/>
      <w:r>
        <w:rPr>
          <w:rFonts w:ascii="微软雅黑" w:eastAsia="微软雅黑" w:hAnsi="微软雅黑"/>
          <w:sz w:val="21"/>
          <w:szCs w:val="21"/>
        </w:rPr>
        <w:t>男女主播出镜、</w:t>
      </w:r>
      <w:proofErr w:type="gramStart"/>
      <w:r>
        <w:rPr>
          <w:rFonts w:ascii="微软雅黑" w:eastAsia="微软雅黑" w:hAnsi="微软雅黑"/>
          <w:sz w:val="21"/>
          <w:szCs w:val="21"/>
        </w:rPr>
        <w:t>服化道</w:t>
      </w:r>
      <w:proofErr w:type="gramEnd"/>
      <w:r>
        <w:rPr>
          <w:rFonts w:ascii="微软雅黑" w:eastAsia="微软雅黑" w:hAnsi="微软雅黑"/>
          <w:sz w:val="21"/>
          <w:szCs w:val="21"/>
        </w:rPr>
        <w:t>制作走心、考究的台词设计、紧跟热点和时尚的话题、剧情反转、专业运镜、节奏</w:t>
      </w:r>
      <w:proofErr w:type="gramStart"/>
      <w:r>
        <w:rPr>
          <w:rFonts w:ascii="微软雅黑" w:eastAsia="微软雅黑" w:hAnsi="微软雅黑"/>
          <w:sz w:val="21"/>
          <w:szCs w:val="21"/>
        </w:rPr>
        <w:t>紧凑都</w:t>
      </w:r>
      <w:proofErr w:type="gramEnd"/>
      <w:r>
        <w:rPr>
          <w:rFonts w:ascii="微软雅黑" w:eastAsia="微软雅黑" w:hAnsi="微软雅黑"/>
          <w:sz w:val="21"/>
          <w:szCs w:val="21"/>
        </w:rPr>
        <w:t>得到业界和用户的认可。以作品《证券时装周》为例，自从最近“高校时装周”火爆全网后，平安证券也立刻紧贴热点出了一集</w:t>
      </w:r>
      <w:proofErr w:type="gramStart"/>
      <w:r>
        <w:rPr>
          <w:rFonts w:ascii="微软雅黑" w:eastAsia="微软雅黑" w:hAnsi="微软雅黑"/>
          <w:sz w:val="21"/>
          <w:szCs w:val="21"/>
        </w:rPr>
        <w:t>券</w:t>
      </w:r>
      <w:proofErr w:type="gramEnd"/>
      <w:r>
        <w:rPr>
          <w:rFonts w:ascii="微软雅黑" w:eastAsia="微软雅黑" w:hAnsi="微软雅黑"/>
          <w:sz w:val="21"/>
          <w:szCs w:val="21"/>
        </w:rPr>
        <w:t>业员工的走秀视频，将投顾、产品经理、客服、研究员等颇具代表性的岗位</w:t>
      </w:r>
      <w:proofErr w:type="gramStart"/>
      <w:r>
        <w:rPr>
          <w:rFonts w:ascii="微软雅黑" w:eastAsia="微软雅黑" w:hAnsi="微软雅黑"/>
          <w:sz w:val="21"/>
          <w:szCs w:val="21"/>
        </w:rPr>
        <w:t>一</w:t>
      </w:r>
      <w:proofErr w:type="gramEnd"/>
      <w:r>
        <w:rPr>
          <w:rFonts w:ascii="微软雅黑" w:eastAsia="微软雅黑" w:hAnsi="微软雅黑"/>
          <w:sz w:val="21"/>
          <w:szCs w:val="21"/>
        </w:rPr>
        <w:t> 一呈现。</w:t>
      </w:r>
    </w:p>
    <w:p w14:paraId="6881EBE3" w14:textId="77777777" w:rsidR="0038608D" w:rsidRDefault="00000000">
      <w:pPr>
        <w:pStyle w:val="ab"/>
        <w:spacing w:before="50" w:beforeAutospacing="0" w:after="50" w:afterAutospacing="0"/>
      </w:pPr>
      <w:r>
        <w:rPr>
          <w:noProof/>
        </w:rPr>
        <w:drawing>
          <wp:inline distT="0" distB="0" distL="114300" distR="114300" wp14:anchorId="3CB53E76" wp14:editId="102A1587">
            <wp:extent cx="5716270" cy="2955290"/>
            <wp:effectExtent l="0" t="0" r="1143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34D7D" w14:textId="77777777" w:rsidR="0038608D" w:rsidRDefault="0038608D">
      <w:pPr>
        <w:pStyle w:val="ab"/>
        <w:spacing w:before="50" w:beforeAutospacing="0" w:after="50" w:afterAutospacing="0"/>
      </w:pPr>
    </w:p>
    <w:p w14:paraId="40008F13" w14:textId="77777777" w:rsidR="0038608D" w:rsidRDefault="00000000">
      <w:pPr>
        <w:pStyle w:val="ab"/>
        <w:spacing w:before="50" w:beforeAutospacing="0" w:after="50" w:afterAutospacing="0"/>
      </w:pPr>
      <w:r>
        <w:rPr>
          <w:noProof/>
        </w:rPr>
        <w:lastRenderedPageBreak/>
        <w:drawing>
          <wp:inline distT="0" distB="0" distL="114300" distR="114300" wp14:anchorId="39889BA8" wp14:editId="48C85E0A">
            <wp:extent cx="5715635" cy="295211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D9D7F" w14:textId="77777777" w:rsidR="0038608D" w:rsidRDefault="0038608D">
      <w:pPr>
        <w:pStyle w:val="ab"/>
        <w:spacing w:before="50" w:beforeAutospacing="0" w:after="50" w:afterAutospacing="0"/>
      </w:pPr>
    </w:p>
    <w:p w14:paraId="1E1009EC" w14:textId="77777777" w:rsidR="0038608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ADA8AFA" w14:textId="49943745" w:rsidR="00F9025C" w:rsidRPr="00F9025C" w:rsidRDefault="00F9025C" w:rsidP="00F90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9025C">
        <w:rPr>
          <w:rFonts w:ascii="微软雅黑" w:eastAsia="微软雅黑" w:hAnsi="微软雅黑"/>
          <w:b/>
          <w:bCs/>
          <w:sz w:val="21"/>
          <w:szCs w:val="21"/>
        </w:rPr>
        <w:t>平安证券从202</w:t>
      </w:r>
      <w:r w:rsidRPr="00F9025C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F9025C">
        <w:rPr>
          <w:rFonts w:ascii="微软雅黑" w:eastAsia="微软雅黑" w:hAnsi="微软雅黑"/>
          <w:b/>
          <w:bCs/>
          <w:sz w:val="21"/>
          <w:szCs w:val="21"/>
        </w:rPr>
        <w:t>年</w:t>
      </w:r>
      <w:r w:rsidRPr="00F9025C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F9025C">
        <w:rPr>
          <w:rFonts w:ascii="微软雅黑" w:eastAsia="微软雅黑" w:hAnsi="微软雅黑"/>
          <w:b/>
          <w:bCs/>
          <w:sz w:val="21"/>
          <w:szCs w:val="21"/>
        </w:rPr>
        <w:t>月-</w:t>
      </w:r>
      <w:r w:rsidRPr="00F9025C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F9025C">
        <w:rPr>
          <w:rFonts w:ascii="微软雅黑" w:eastAsia="微软雅黑" w:hAnsi="微软雅黑"/>
          <w:b/>
          <w:bCs/>
          <w:sz w:val="21"/>
          <w:szCs w:val="21"/>
        </w:rPr>
        <w:t>2月期间持续精细化运营，累计出品160条高质量短视频，视频整体播放量为1.5亿+，整体互动量为198万+，成为证券行业短视频领域的综合第一。</w:t>
      </w:r>
    </w:p>
    <w:p w14:paraId="0AB0ED72" w14:textId="77777777" w:rsidR="00F9025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目前评估券商在抖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音号短视频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运营情况可大致分为三项指标，分别是运营效果、运营能力和变现能力。其中，短视频运营效果又可细分为不同的硬性指标，包括衡量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爆款水平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的置顶视频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点赞量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，衡量平均制作水平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的点赞总量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衡量受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众喜爱水平的粉丝数量以及代表着受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众活跃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度的评论热度。</w:t>
      </w:r>
    </w:p>
    <w:p w14:paraId="1C51F081" w14:textId="11824FB8" w:rsidR="00F9025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总体而言，大中型券商在粉丝体量上更具优势，但部分中小型券商取得不俗战绩。据统计，目前粉丝数超过60万的券商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官方抖音号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只有平安证券1家。</w:t>
      </w:r>
      <w:r>
        <w:rPr>
          <w:rFonts w:ascii="微软雅黑" w:eastAsia="微软雅黑" w:hAnsi="微软雅黑"/>
          <w:sz w:val="21"/>
          <w:szCs w:val="21"/>
        </w:rPr>
        <w:t>从202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年1月至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2月</w:t>
      </w:r>
      <w:r>
        <w:rPr>
          <w:rFonts w:ascii="微软雅黑" w:eastAsia="微软雅黑" w:hAnsi="微软雅黑" w:hint="eastAsia"/>
          <w:sz w:val="21"/>
          <w:szCs w:val="21"/>
        </w:rPr>
        <w:t>期间</w:t>
      </w:r>
      <w:r>
        <w:rPr>
          <w:rFonts w:ascii="微软雅黑" w:eastAsia="微软雅黑" w:hAnsi="微软雅黑"/>
          <w:sz w:val="21"/>
          <w:szCs w:val="21"/>
        </w:rPr>
        <w:t>，平安证券从0开始运营，截至目前</w:t>
      </w:r>
      <w:proofErr w:type="gramStart"/>
      <w:r>
        <w:rPr>
          <w:rFonts w:ascii="微软雅黑" w:eastAsia="微软雅黑" w:hAnsi="微软雅黑"/>
          <w:sz w:val="21"/>
          <w:szCs w:val="21"/>
        </w:rPr>
        <w:t>其</w:t>
      </w:r>
      <w:r>
        <w:rPr>
          <w:rFonts w:ascii="微软雅黑" w:eastAsia="微软雅黑" w:hAnsi="微软雅黑" w:hint="eastAsia"/>
          <w:sz w:val="21"/>
          <w:szCs w:val="21"/>
        </w:rPr>
        <w:t>抖音</w:t>
      </w:r>
      <w:proofErr w:type="gramEnd"/>
      <w:r>
        <w:rPr>
          <w:rFonts w:ascii="微软雅黑" w:eastAsia="微软雅黑" w:hAnsi="微软雅黑"/>
          <w:sz w:val="21"/>
          <w:szCs w:val="21"/>
        </w:rPr>
        <w:t>平台的数据跃升为证券行业第一位</w:t>
      </w:r>
      <w:r w:rsidR="00F9025C">
        <w:rPr>
          <w:rFonts w:ascii="微软雅黑" w:eastAsia="微软雅黑" w:hAnsi="微软雅黑" w:hint="eastAsia"/>
          <w:sz w:val="21"/>
          <w:szCs w:val="21"/>
        </w:rPr>
        <w:t>。</w:t>
      </w:r>
    </w:p>
    <w:p w14:paraId="68597514" w14:textId="0E843352" w:rsidR="0038608D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媒体报道：</w:t>
      </w:r>
      <w:hyperlink r:id="rId14" w:history="1"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券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业视频突围：三家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券商抖音号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领跑，打造视频</w:t>
        </w:r>
        <w:proofErr w:type="gramStart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爆款需要</w:t>
        </w:r>
        <w:proofErr w:type="gramEnd"/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哪些加分项？流量变现还有哪些困局待解？ (cls.cn)</w:t>
        </w:r>
      </w:hyperlink>
    </w:p>
    <w:p w14:paraId="4AED7202" w14:textId="6100A987" w:rsidR="0038608D" w:rsidRDefault="00F9025C" w:rsidP="00F9025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F9025C">
        <w:lastRenderedPageBreak/>
        <w:drawing>
          <wp:inline distT="0" distB="0" distL="0" distR="0" wp14:anchorId="090E4DB0" wp14:editId="04C6FDBB">
            <wp:extent cx="4486901" cy="4791744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08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4F8AE" w14:textId="77777777" w:rsidR="00D068E7" w:rsidRDefault="00D068E7">
      <w:r>
        <w:separator/>
      </w:r>
    </w:p>
  </w:endnote>
  <w:endnote w:type="continuationSeparator" w:id="0">
    <w:p w14:paraId="782A9258" w14:textId="77777777" w:rsidR="00D068E7" w:rsidRDefault="00D06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95799" w14:textId="77777777" w:rsidR="0038608D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DF257A1" w14:textId="77777777" w:rsidR="0038608D" w:rsidRDefault="0038608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FF69" w14:textId="77777777" w:rsidR="0038608D" w:rsidRDefault="0038608D">
    <w:pPr>
      <w:pStyle w:val="a9"/>
      <w:framePr w:wrap="around" w:vAnchor="text" w:hAnchor="margin" w:xAlign="right" w:y="1"/>
      <w:rPr>
        <w:rStyle w:val="af2"/>
      </w:rPr>
    </w:pPr>
  </w:p>
  <w:p w14:paraId="0CE46A84" w14:textId="77777777" w:rsidR="0038608D" w:rsidRDefault="0038608D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04F56" w14:textId="77777777" w:rsidR="0038608D" w:rsidRDefault="0038608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0E85A" w14:textId="77777777" w:rsidR="00D068E7" w:rsidRDefault="00D068E7">
      <w:r>
        <w:separator/>
      </w:r>
    </w:p>
  </w:footnote>
  <w:footnote w:type="continuationSeparator" w:id="0">
    <w:p w14:paraId="419A431F" w14:textId="77777777" w:rsidR="00D068E7" w:rsidRDefault="00D06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E3E06" w14:textId="77777777" w:rsidR="0038608D" w:rsidRDefault="0038608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7185" w14:textId="77777777" w:rsidR="0038608D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FB81C3F" wp14:editId="5520934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13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AC077" w14:textId="77777777" w:rsidR="0038608D" w:rsidRDefault="0038608D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ZjN2MxYmYwNjk1YzI3NzIzMzMxY2ZlOTIyZWNhNz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08D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022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68E7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025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960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8AAF41"/>
  <w15:docId w15:val="{9B0A04DF-FAF9-409A-8155-07B2AA75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j54y1P7wL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v.douyin.com/BV5VrdP/" TargetMode="Externa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bilibili.com/video/BV1po4y1i7hs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bilibili.com/video/BV1Fe4y1A7sf/" TargetMode="External"/><Relationship Id="rId14" Type="http://schemas.openxmlformats.org/officeDocument/2006/relationships/hyperlink" Target="https://api3.cls.cn/share/article/1178842?os=android&amp;sv=7.9.9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294</Words>
  <Characters>1680</Characters>
  <Application>Microsoft Office Word</Application>
  <DocSecurity>0</DocSecurity>
  <Lines>14</Lines>
  <Paragraphs>3</Paragraphs>
  <ScaleCrop>false</ScaleCrop>
  <Company>WWW.YlmF.CoM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2012-10-11T08:46:00Z</cp:lastPrinted>
  <dcterms:created xsi:type="dcterms:W3CDTF">2023-02-16T06:10:00Z</dcterms:created>
  <dcterms:modified xsi:type="dcterms:W3CDTF">2023-02-16T06:10:00Z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1843D0EE49E74F218EE47D256287D777</vt:lpwstr>
  </property>
</Properties>
</file>