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40" w:beforeLines="100" w:after="240" w:afterLines="100"/>
        <w:jc w:val="center"/>
        <w:textAlignment w:val="baseline"/>
        <w:rPr>
          <w:rFonts w:ascii="微软雅黑" w:hAnsi="微软雅黑" w:eastAsia="微软雅黑" w:cs="Times New Roman"/>
          <w:b/>
          <w:sz w:val="32"/>
          <w:szCs w:val="32"/>
        </w:rPr>
      </w:pPr>
      <w:r>
        <w:rPr>
          <w:rFonts w:hint="eastAsia" w:ascii="微软雅黑" w:hAnsi="微软雅黑" w:eastAsia="微软雅黑" w:cs="Times New Roman"/>
          <w:b/>
          <w:sz w:val="32"/>
          <w:szCs w:val="32"/>
        </w:rPr>
        <w:t>合生元“乘风”借势，创造京东平台增长点</w:t>
      </w:r>
    </w:p>
    <w:p>
      <w:pPr>
        <w:textAlignment w:val="baseline"/>
        <w:rPr>
          <w:rFonts w:ascii="微软雅黑" w:hAnsi="微软雅黑" w:eastAsia="微软雅黑"/>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w:t>
      </w:r>
      <w:bookmarkStart w:id="0" w:name="_Hlk122535987"/>
      <w:r>
        <w:rPr>
          <w:rFonts w:hint="eastAsia" w:ascii="微软雅黑" w:hAnsi="微软雅黑" w:eastAsia="微软雅黑"/>
          <w:sz w:val="21"/>
          <w:szCs w:val="21"/>
        </w:rPr>
        <w:t>合生元</w:t>
      </w:r>
      <w:bookmarkEnd w:id="0"/>
    </w:p>
    <w:p>
      <w:pPr>
        <w:textAlignment w:val="baseline"/>
        <w:rPr>
          <w:rFonts w:ascii="微软雅黑" w:hAnsi="微软雅黑" w:eastAsia="微软雅黑"/>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：母婴类</w:t>
      </w:r>
    </w:p>
    <w:p>
      <w:pPr>
        <w:textAlignment w:val="baseline"/>
        <w:rPr>
          <w:rFonts w:ascii="微软雅黑" w:hAnsi="微软雅黑" w:eastAsia="微软雅黑"/>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22</w:t>
      </w:r>
      <w:r>
        <w:rPr>
          <w:rFonts w:hint="eastAsia" w:ascii="微软雅黑" w:hAnsi="微软雅黑" w:eastAsia="微软雅黑"/>
          <w:sz w:val="21"/>
          <w:szCs w:val="21"/>
        </w:rPr>
        <w:t>.0</w:t>
      </w:r>
      <w:r>
        <w:rPr>
          <w:rFonts w:ascii="微软雅黑" w:hAnsi="微软雅黑" w:eastAsia="微软雅黑"/>
          <w:sz w:val="21"/>
          <w:szCs w:val="21"/>
        </w:rPr>
        <w:t>7</w:t>
      </w:r>
      <w:r>
        <w:rPr>
          <w:rFonts w:hint="eastAsia" w:ascii="微软雅黑" w:hAnsi="微软雅黑" w:eastAsia="微软雅黑"/>
          <w:sz w:val="21"/>
          <w:szCs w:val="21"/>
        </w:rPr>
        <w:t>.</w:t>
      </w:r>
      <w:r>
        <w:rPr>
          <w:rFonts w:ascii="微软雅黑" w:hAnsi="微软雅黑" w:eastAsia="微软雅黑"/>
          <w:sz w:val="21"/>
          <w:szCs w:val="21"/>
        </w:rPr>
        <w:t>24</w:t>
      </w:r>
      <w:r>
        <w:rPr>
          <w:rFonts w:hint="eastAsia" w:ascii="微软雅黑" w:hAnsi="微软雅黑" w:eastAsia="微软雅黑"/>
          <w:sz w:val="21"/>
          <w:szCs w:val="21"/>
        </w:rPr>
        <w:t>-</w:t>
      </w:r>
      <w:r>
        <w:rPr>
          <w:rFonts w:ascii="微软雅黑" w:hAnsi="微软雅黑" w:eastAsia="微软雅黑"/>
          <w:sz w:val="21"/>
          <w:szCs w:val="21"/>
        </w:rPr>
        <w:t>07</w:t>
      </w:r>
      <w:r>
        <w:rPr>
          <w:rFonts w:hint="eastAsia" w:ascii="微软雅黑" w:hAnsi="微软雅黑" w:eastAsia="微软雅黑"/>
          <w:sz w:val="21"/>
          <w:szCs w:val="21"/>
        </w:rPr>
        <w:t>.</w:t>
      </w:r>
      <w:r>
        <w:rPr>
          <w:rFonts w:ascii="微软雅黑" w:hAnsi="微软雅黑" w:eastAsia="微软雅黑"/>
          <w:sz w:val="21"/>
          <w:szCs w:val="21"/>
        </w:rPr>
        <w:t>25</w:t>
      </w:r>
    </w:p>
    <w:p>
      <w:pPr>
        <w:spacing w:after="240"/>
        <w:textAlignment w:val="baseline"/>
        <w:rPr>
          <w:rFonts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 xml:space="preserve">：电商营销类 </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2021年，合生元遇到京东平台内外双重挑战：</w:t>
      </w:r>
    </w:p>
    <w:p>
      <w:pPr>
        <w:pStyle w:val="25"/>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ascii="微软雅黑" w:hAnsi="微软雅黑" w:eastAsia="微软雅黑"/>
          <w:szCs w:val="21"/>
        </w:rPr>
        <w:t>疫情对大环境影响，人口出生率放缓；</w:t>
      </w:r>
    </w:p>
    <w:p>
      <w:pPr>
        <w:pStyle w:val="25"/>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ascii="微软雅黑" w:hAnsi="微软雅黑" w:eastAsia="微软雅黑"/>
          <w:szCs w:val="21"/>
        </w:rPr>
        <w:t>行业营销内卷严重，合生元在京东平台声量、曝光量、拉新量都与友商产生了差距。</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营销目标</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2022年，合生元希望重塑在京东母婴品类的影响力，以资源协力，撬动在京东的生意增长率。7月，适逢顶流爆款综艺《乘风破浪3》进入决赛期的热度和话题度，具备抢占市场的重要吻合点。</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顺延的第二目标，则是通过多维度触达意向用户，促进奶粉产品乃至全品类产品的销售转化。</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策略与创意</w:t>
      </w:r>
    </w:p>
    <w:p>
      <w:pPr>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策略</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随着中国优生优育世代来临，当代年轻妈妈更注重婴配粉的优质程度，高端奶粉需求明显增长。适逢</w:t>
      </w:r>
      <w:r>
        <w:rPr>
          <w:rFonts w:ascii="微软雅黑" w:hAnsi="微软雅黑" w:eastAsia="微软雅黑"/>
          <w:sz w:val="21"/>
          <w:szCs w:val="21"/>
        </w:rPr>
        <w:t>2022年夏，《乘风破浪3》全网热播，刻画展示了当代年轻妈妈“兼顾家庭和生活热爱”的人物标签，不断引起每位妈妈的共鸣。</w:t>
      </w:r>
    </w:p>
    <w:p>
      <w:pPr>
        <w:spacing w:before="100" w:beforeAutospacing="1" w:after="100" w:afterAutospacing="1"/>
        <w:jc w:val="center"/>
        <w:textAlignment w:val="baseline"/>
        <w:rPr>
          <w:rFonts w:ascii="微软雅黑" w:hAnsi="微软雅黑" w:eastAsia="微软雅黑"/>
          <w:sz w:val="21"/>
          <w:szCs w:val="21"/>
        </w:rPr>
      </w:pPr>
      <w:r>
        <w:drawing>
          <wp:inline distT="0" distB="0" distL="0" distR="0">
            <wp:extent cx="3624580" cy="2038985"/>
            <wp:effectExtent l="0" t="0" r="0" b="0"/>
            <wp:docPr id="14" name="图片 14"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网站&#10;&#10;描述已自动生成"/>
                    <pic:cNvPicPr>
                      <a:picLocks noChangeAspect="1"/>
                    </pic:cNvPicPr>
                  </pic:nvPicPr>
                  <pic:blipFill>
                    <a:blip r:embed="rId10"/>
                    <a:stretch>
                      <a:fillRect/>
                    </a:stretch>
                  </pic:blipFill>
                  <pic:spPr>
                    <a:xfrm>
                      <a:off x="0" y="0"/>
                      <a:ext cx="3652017" cy="2054308"/>
                    </a:xfrm>
                    <a:prstGeom prst="rect">
                      <a:avLst/>
                    </a:prstGeom>
                  </pic:spPr>
                </pic:pic>
              </a:graphicData>
            </a:graphic>
          </wp:inline>
        </w:drawing>
      </w:r>
    </w:p>
    <w:p>
      <w:pPr>
        <w:spacing w:before="100" w:beforeAutospacing="1" w:after="100" w:afterAutospacing="1"/>
        <w:textAlignment w:val="baseline"/>
        <w:rPr>
          <w:rFonts w:ascii="微软雅黑" w:hAnsi="微软雅黑" w:eastAsia="微软雅黑"/>
          <w:sz w:val="21"/>
          <w:szCs w:val="21"/>
        </w:rPr>
      </w:pPr>
      <w:bookmarkStart w:id="1" w:name="_Hlk122537421"/>
      <w:r>
        <w:rPr>
          <w:rFonts w:hint="eastAsia" w:ascii="微软雅黑" w:hAnsi="微软雅黑" w:eastAsia="微软雅黑"/>
          <w:sz w:val="21"/>
          <w:szCs w:val="21"/>
        </w:rPr>
        <w:t>所以，二十年如一日专注高端婴幼儿营养与健康的合生元，把握话题趋势，冠名《乘风破浪3》，把合生元奶粉和乘风破浪新女性妈妈的态度深度捆绑，回应她们既想轻松带娃、又想享受生活的核心诉求。</w:t>
      </w:r>
    </w:p>
    <w:p>
      <w:pPr>
        <w:spacing w:before="100" w:beforeAutospacing="1" w:after="100" w:afterAutospacing="1"/>
        <w:jc w:val="center"/>
        <w:textAlignment w:val="baseline"/>
        <w:rPr>
          <w:rFonts w:ascii="微软雅黑" w:hAnsi="微软雅黑" w:eastAsia="微软雅黑"/>
          <w:sz w:val="21"/>
          <w:szCs w:val="21"/>
        </w:rPr>
      </w:pPr>
      <w:r>
        <w:drawing>
          <wp:inline distT="0" distB="0" distL="0" distR="0">
            <wp:extent cx="4311015" cy="2425065"/>
            <wp:effectExtent l="0" t="0" r="0" b="0"/>
            <wp:docPr id="15" name="图片 15"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网站&#10;&#10;描述已自动生成"/>
                    <pic:cNvPicPr>
                      <a:picLocks noChangeAspect="1"/>
                    </pic:cNvPicPr>
                  </pic:nvPicPr>
                  <pic:blipFill>
                    <a:blip r:embed="rId11"/>
                    <a:stretch>
                      <a:fillRect/>
                    </a:stretch>
                  </pic:blipFill>
                  <pic:spPr>
                    <a:xfrm>
                      <a:off x="0" y="0"/>
                      <a:ext cx="4311510" cy="2425284"/>
                    </a:xfrm>
                    <a:prstGeom prst="rect">
                      <a:avLst/>
                    </a:prstGeom>
                  </pic:spPr>
                </pic:pic>
              </a:graphicData>
            </a:graphic>
          </wp:inline>
        </w:drawing>
      </w:r>
    </w:p>
    <w:bookmarkEnd w:id="1"/>
    <w:p>
      <w:pPr>
        <w:spacing w:before="100" w:beforeAutospacing="1" w:after="100" w:afterAutospacing="1"/>
        <w:rPr>
          <w:rFonts w:ascii="微软雅黑" w:hAnsi="微软雅黑" w:eastAsia="微软雅黑"/>
          <w:sz w:val="21"/>
          <w:szCs w:val="21"/>
        </w:rPr>
      </w:pPr>
      <w:bookmarkStart w:id="2" w:name="_Hlk122537435"/>
      <w:r>
        <w:rPr>
          <w:rFonts w:hint="eastAsia" w:ascii="微软雅黑" w:hAnsi="微软雅黑" w:eastAsia="微软雅黑"/>
          <w:sz w:val="21"/>
          <w:szCs w:val="21"/>
        </w:rPr>
        <w:t>与广受高知妈妈认可的浪姐阿雅深度合作，瞄准人群圈层，打造</w:t>
      </w:r>
      <w:r>
        <w:rPr>
          <w:rFonts w:hint="eastAsia" w:ascii="微软雅黑" w:hAnsi="微软雅黑" w:eastAsia="微软雅黑"/>
          <w:b/>
          <w:bCs/>
          <w:sz w:val="21"/>
          <w:szCs w:val="21"/>
        </w:rPr>
        <w:t>#爱不将就，保护乘风#高端温情营销事件</w:t>
      </w:r>
      <w:r>
        <w:rPr>
          <w:rFonts w:hint="eastAsia" w:ascii="微软雅黑" w:hAnsi="微软雅黑" w:eastAsia="微软雅黑"/>
          <w:sz w:val="21"/>
          <w:szCs w:val="21"/>
        </w:rPr>
        <w:t>。以独家珍稀成分乳桥蛋白LPN全面激发宝宝内在保护力，保护宝宝热爱探索世界的心，鼓励每一位妈妈勇敢乘风，对宝宝的爱和自己的爱，都不将就！</w:t>
      </w:r>
    </w:p>
    <w:bookmarkEnd w:id="2"/>
    <w:p>
      <w:pPr>
        <w:spacing w:before="100" w:beforeAutospacing="1" w:after="100" w:afterAutospacing="1"/>
        <w:jc w:val="center"/>
        <w:textAlignment w:val="baseline"/>
        <w:rPr>
          <w:rFonts w:ascii="微软雅黑" w:hAnsi="微软雅黑" w:eastAsia="微软雅黑"/>
          <w:sz w:val="21"/>
          <w:szCs w:val="21"/>
        </w:rPr>
      </w:pPr>
      <w:r>
        <w:drawing>
          <wp:inline distT="0" distB="0" distL="0" distR="0">
            <wp:extent cx="3137535" cy="1764665"/>
            <wp:effectExtent l="0" t="0" r="0" b="0"/>
            <wp:docPr id="18" name="图片 18"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示, 示意图&#10;&#10;描述已自动生成"/>
                    <pic:cNvPicPr>
                      <a:picLocks noChangeAspect="1"/>
                    </pic:cNvPicPr>
                  </pic:nvPicPr>
                  <pic:blipFill>
                    <a:blip r:embed="rId12"/>
                    <a:stretch>
                      <a:fillRect/>
                    </a:stretch>
                  </pic:blipFill>
                  <pic:spPr>
                    <a:xfrm>
                      <a:off x="0" y="0"/>
                      <a:ext cx="3219308" cy="1810908"/>
                    </a:xfrm>
                    <a:prstGeom prst="rect">
                      <a:avLst/>
                    </a:prstGeom>
                  </pic:spPr>
                </pic:pic>
              </a:graphicData>
            </a:graphic>
          </wp:inline>
        </w:drawing>
      </w:r>
    </w:p>
    <w:p>
      <w:pPr>
        <w:spacing w:before="100" w:beforeAutospacing="1" w:after="100" w:afterAutospacing="1"/>
        <w:rPr>
          <w:rFonts w:ascii="微软雅黑" w:hAnsi="微软雅黑" w:eastAsia="微软雅黑"/>
          <w:b/>
          <w:bCs/>
          <w:sz w:val="21"/>
          <w:szCs w:val="21"/>
        </w:rPr>
      </w:pPr>
      <w:r>
        <w:rPr>
          <w:rFonts w:hint="eastAsia" w:ascii="微软雅黑" w:hAnsi="微软雅黑" w:eastAsia="微软雅黑"/>
          <w:b/>
          <w:bCs/>
          <w:sz w:val="21"/>
          <w:szCs w:val="21"/>
        </w:rPr>
        <w:t>创意</w:t>
      </w:r>
    </w:p>
    <w:p>
      <w:pPr>
        <w:spacing w:before="100" w:beforeAutospacing="1" w:after="100" w:afterAutospacing="1"/>
        <w:rPr>
          <w:rFonts w:ascii="微软雅黑" w:hAnsi="微软雅黑" w:eastAsia="微软雅黑"/>
          <w:b/>
          <w:sz w:val="21"/>
          <w:szCs w:val="21"/>
        </w:rPr>
      </w:pPr>
      <w:r>
        <w:rPr>
          <w:rFonts w:hint="eastAsia" w:ascii="微软雅黑" w:hAnsi="微软雅黑" w:eastAsia="微软雅黑"/>
          <w:sz w:val="21"/>
          <w:szCs w:val="21"/>
        </w:rPr>
        <w:t>前期先以揭秘姐姐乘风追求热爱的幕后故事为核心噱头，充分借势节目热度突破话题高峰；以阿雅邀请粉丝共同见证自己不将就的热爱故事为导流亮点，将目标妈妈人群从</w:t>
      </w:r>
      <w:r>
        <w:rPr>
          <w:rFonts w:hint="eastAsia" w:ascii="微软雅黑" w:hAnsi="微软雅黑" w:eastAsia="微软雅黑"/>
          <w:b/>
          <w:bCs/>
          <w:sz w:val="21"/>
          <w:szCs w:val="21"/>
        </w:rPr>
        <w:t>微博</w:t>
      </w:r>
      <w:r>
        <w:rPr>
          <w:rFonts w:hint="eastAsia" w:ascii="微软雅黑" w:hAnsi="微软雅黑" w:eastAsia="微软雅黑"/>
          <w:sz w:val="21"/>
          <w:szCs w:val="21"/>
        </w:rPr>
        <w:t>平台卷入</w:t>
      </w:r>
      <w:r>
        <w:rPr>
          <w:rFonts w:hint="eastAsia" w:ascii="微软雅黑" w:hAnsi="微软雅黑" w:eastAsia="微软雅黑"/>
          <w:b/>
          <w:bCs/>
          <w:sz w:val="21"/>
          <w:szCs w:val="21"/>
        </w:rPr>
        <w:t>京东</w:t>
      </w:r>
      <w:r>
        <w:rPr>
          <w:rFonts w:hint="eastAsia" w:ascii="微软雅黑" w:hAnsi="微软雅黑" w:eastAsia="微软雅黑"/>
          <w:sz w:val="21"/>
          <w:szCs w:val="21"/>
        </w:rPr>
        <w:t>平台；以阿雅宠粉翻牌粉丝问题，形成粉丝互动扩散破圈。</w:t>
      </w:r>
    </w:p>
    <w:p>
      <w:pPr>
        <w:spacing w:before="100" w:beforeAutospacing="1" w:after="100" w:afterAutospacing="1"/>
        <w:rPr>
          <w:rFonts w:ascii="微软雅黑" w:hAnsi="微软雅黑" w:eastAsia="微软雅黑"/>
          <w:b/>
          <w:sz w:val="21"/>
          <w:szCs w:val="21"/>
        </w:rPr>
      </w:pPr>
      <w:r>
        <w:rPr>
          <w:rFonts w:hint="eastAsia" w:ascii="微软雅黑" w:hAnsi="微软雅黑" w:eastAsia="微软雅黑"/>
          <w:sz w:val="21"/>
          <w:szCs w:val="21"/>
        </w:rPr>
        <w:t>同时在高端奶粉核心购买宝妈群体基数大的各一线城市，7月2</w:t>
      </w:r>
      <w:r>
        <w:rPr>
          <w:rFonts w:ascii="微软雅黑" w:hAnsi="微软雅黑" w:eastAsia="微软雅黑"/>
          <w:sz w:val="21"/>
          <w:szCs w:val="21"/>
        </w:rPr>
        <w:t>5</w:t>
      </w:r>
      <w:r>
        <w:rPr>
          <w:rFonts w:hint="eastAsia" w:ascii="微软雅黑" w:hAnsi="微软雅黑" w:eastAsia="微软雅黑"/>
          <w:sz w:val="21"/>
          <w:szCs w:val="21"/>
        </w:rPr>
        <w:t>日爆发日当天落地</w:t>
      </w:r>
      <w:r>
        <w:rPr>
          <w:rFonts w:hint="eastAsia" w:ascii="微软雅黑" w:hAnsi="微软雅黑" w:eastAsia="微软雅黑"/>
          <w:b/>
          <w:bCs/>
          <w:sz w:val="21"/>
          <w:szCs w:val="21"/>
        </w:rPr>
        <w:t>线下营销事件</w:t>
      </w:r>
      <w:r>
        <w:rPr>
          <w:rFonts w:hint="eastAsia" w:ascii="微软雅黑" w:hAnsi="微软雅黑" w:eastAsia="微软雅黑"/>
          <w:sz w:val="21"/>
          <w:szCs w:val="21"/>
        </w:rPr>
        <w:t>：点亮地标、霸屏黄金地段，合生元“爱不将就，保护乘风”的主题海报全天滚动播放，掀起一场爱意满满的大牌风暴。</w:t>
      </w:r>
    </w:p>
    <w:p>
      <w:pPr>
        <w:spacing w:before="100" w:beforeAutospacing="1" w:after="100" w:afterAutospacing="1"/>
        <w:rPr>
          <w:rFonts w:ascii="微软雅黑" w:hAnsi="微软雅黑" w:eastAsia="微软雅黑"/>
          <w:bCs/>
          <w:sz w:val="21"/>
          <w:szCs w:val="21"/>
        </w:rPr>
      </w:pPr>
      <w:bookmarkStart w:id="3" w:name="_Hlk122535781"/>
      <w:r>
        <w:rPr>
          <w:rFonts w:hint="eastAsia" w:ascii="微软雅黑" w:hAnsi="微软雅黑" w:eastAsia="微软雅黑"/>
          <w:sz w:val="21"/>
          <w:szCs w:val="21"/>
        </w:rPr>
        <w:t>并充分调动百万级母婴、阿雅&amp;合生元品牌官方、《乘风破浪3》广告投放、京东超市大牌风暴站内资源等渠道，助推“热爱×保护力”双重突围，形成对高端母婴人群的</w:t>
      </w:r>
      <w:r>
        <w:rPr>
          <w:rFonts w:hint="eastAsia" w:ascii="微软雅黑" w:hAnsi="微软雅黑" w:eastAsia="微软雅黑"/>
          <w:b/>
          <w:bCs/>
          <w:sz w:val="21"/>
          <w:szCs w:val="21"/>
        </w:rPr>
        <w:t>心智轰炸与购买促动</w:t>
      </w:r>
      <w:r>
        <w:rPr>
          <w:rFonts w:hint="eastAsia" w:ascii="微软雅黑" w:hAnsi="微软雅黑" w:eastAsia="微软雅黑"/>
          <w:sz w:val="21"/>
          <w:szCs w:val="21"/>
        </w:rPr>
        <w:t>。</w:t>
      </w:r>
    </w:p>
    <w:bookmarkEnd w:id="3"/>
    <w:p>
      <w:pPr>
        <w:spacing w:before="100" w:beforeAutospacing="1" w:after="100" w:afterAutospacing="1"/>
        <w:jc w:val="center"/>
        <w:textAlignment w:val="baseline"/>
        <w:rPr>
          <w:rFonts w:ascii="微软雅黑" w:hAnsi="微软雅黑" w:eastAsia="微软雅黑"/>
          <w:sz w:val="21"/>
          <w:szCs w:val="21"/>
        </w:rPr>
      </w:pPr>
      <w:r>
        <w:drawing>
          <wp:inline distT="0" distB="0" distL="0" distR="0">
            <wp:extent cx="4548505" cy="2558415"/>
            <wp:effectExtent l="0" t="0" r="4445" b="0"/>
            <wp:docPr id="16" name="图片 16" descr="图示,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示, 文本&#10;&#10;描述已自动生成"/>
                    <pic:cNvPicPr>
                      <a:picLocks noChangeAspect="1"/>
                    </pic:cNvPicPr>
                  </pic:nvPicPr>
                  <pic:blipFill>
                    <a:blip r:embed="rId13"/>
                    <a:stretch>
                      <a:fillRect/>
                    </a:stretch>
                  </pic:blipFill>
                  <pic:spPr>
                    <a:xfrm>
                      <a:off x="0" y="0"/>
                      <a:ext cx="4563206" cy="2566867"/>
                    </a:xfrm>
                    <a:prstGeom prst="rect">
                      <a:avLst/>
                    </a:prstGeom>
                  </pic:spPr>
                </pic:pic>
              </a:graphicData>
            </a:graphic>
          </wp:inline>
        </w:drawing>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执行过程/媒体表现</w:t>
      </w:r>
    </w:p>
    <w:p>
      <w:pPr>
        <w:spacing w:before="100" w:beforeAutospacing="1" w:after="100" w:afterAutospacing="1"/>
        <w:rPr>
          <w:rStyle w:val="19"/>
        </w:rPr>
      </w:pPr>
      <w:r>
        <w:fldChar w:fldCharType="begin"/>
      </w:r>
      <w:r>
        <w:instrText xml:space="preserve"> HYPERLINK "https://www.xinpianchang.com/a12361083" </w:instrText>
      </w:r>
      <w:r>
        <w:fldChar w:fldCharType="separate"/>
      </w:r>
      <w:r>
        <w:rPr>
          <w:rStyle w:val="19"/>
          <w:rFonts w:ascii="微软雅黑" w:hAnsi="微软雅黑" w:eastAsia="微软雅黑"/>
          <w:b/>
          <w:bCs/>
          <w:sz w:val="21"/>
          <w:szCs w:val="21"/>
        </w:rPr>
        <w:t>合生元×京超大牌风暴结案视频-广告:其他视频-新片场(xinpianchang.com)</w:t>
      </w:r>
      <w:r>
        <w:rPr>
          <w:rStyle w:val="19"/>
          <w:rFonts w:ascii="微软雅黑" w:hAnsi="微软雅黑" w:eastAsia="微软雅黑"/>
          <w:b/>
          <w:bCs/>
          <w:sz w:val="21"/>
          <w:szCs w:val="21"/>
        </w:rPr>
        <w:fldChar w:fldCharType="end"/>
      </w:r>
    </w:p>
    <w:p>
      <w:pPr>
        <w:spacing w:before="100" w:beforeAutospacing="1" w:after="100" w:afterAutospacing="1"/>
        <w:rPr>
          <w:rFonts w:ascii="微软雅黑" w:hAnsi="微软雅黑" w:eastAsia="微软雅黑"/>
          <w:b/>
          <w:sz w:val="21"/>
          <w:szCs w:val="21"/>
        </w:rPr>
      </w:pPr>
      <w:r>
        <w:rPr>
          <w:rFonts w:hint="eastAsia" w:ascii="微软雅黑" w:hAnsi="微软雅黑" w:eastAsia="微软雅黑"/>
          <w:sz w:val="21"/>
          <w:szCs w:val="21"/>
        </w:rPr>
        <w:t>本次</w:t>
      </w:r>
      <w:r>
        <w:rPr>
          <w:rFonts w:ascii="微软雅黑" w:hAnsi="微软雅黑" w:eastAsia="微软雅黑"/>
          <w:sz w:val="21"/>
          <w:szCs w:val="21"/>
        </w:rPr>
        <w:t>Campaing</w:t>
      </w:r>
      <w:r>
        <w:rPr>
          <w:rFonts w:hint="eastAsia" w:ascii="微软雅黑" w:hAnsi="微软雅黑" w:eastAsia="微软雅黑"/>
          <w:sz w:val="21"/>
          <w:szCs w:val="21"/>
        </w:rPr>
        <w:t>以短平快的形式，达到撬动趋势红利赢取生意机会目的。</w:t>
      </w:r>
    </w:p>
    <w:p>
      <w:pPr>
        <w:spacing w:before="100" w:beforeAutospacing="1" w:after="100" w:afterAutospacing="1"/>
        <w:rPr>
          <w:rFonts w:ascii="微软雅黑" w:hAnsi="微软雅黑" w:eastAsia="微软雅黑"/>
          <w:bCs/>
          <w:sz w:val="21"/>
          <w:szCs w:val="21"/>
        </w:rPr>
      </w:pPr>
      <w:r>
        <w:rPr>
          <w:rFonts w:hint="eastAsia" w:ascii="微软雅黑" w:hAnsi="微软雅黑" w:eastAsia="微软雅黑"/>
          <w:b/>
          <w:bCs/>
          <w:sz w:val="21"/>
          <w:szCs w:val="21"/>
        </w:rPr>
        <w:t>预热阶段：</w:t>
      </w:r>
      <w:r>
        <w:rPr>
          <w:rFonts w:hint="eastAsia" w:ascii="微软雅黑" w:hAnsi="微软雅黑" w:eastAsia="微软雅黑"/>
          <w:sz w:val="21"/>
          <w:szCs w:val="21"/>
        </w:rPr>
        <w:t>通过官方微博发布“爱妈妈与宝宝都不将就”的品牌主张，引发关注。</w:t>
      </w:r>
    </w:p>
    <w:p>
      <w:pPr>
        <w:spacing w:before="100" w:beforeAutospacing="1" w:after="100" w:afterAutospacing="1"/>
        <w:jc w:val="center"/>
        <w:textAlignment w:val="baseline"/>
        <w:rPr>
          <w:rFonts w:ascii="微软雅黑" w:hAnsi="微软雅黑" w:eastAsia="微软雅黑"/>
          <w:sz w:val="21"/>
          <w:szCs w:val="21"/>
        </w:rPr>
      </w:pPr>
      <w:r>
        <w:rPr>
          <w:sz w:val="21"/>
          <w:szCs w:val="21"/>
        </w:rPr>
        <w:drawing>
          <wp:inline distT="0" distB="0" distL="0" distR="0">
            <wp:extent cx="2884805" cy="2346960"/>
            <wp:effectExtent l="0" t="0" r="0" b="0"/>
            <wp:docPr id="1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10;&#10;描述已自动生成"/>
                    <pic:cNvPicPr>
                      <a:picLocks noChangeAspect="1"/>
                    </pic:cNvPicPr>
                  </pic:nvPicPr>
                  <pic:blipFill>
                    <a:blip r:embed="rId14"/>
                    <a:stretch>
                      <a:fillRect/>
                    </a:stretch>
                  </pic:blipFill>
                  <pic:spPr>
                    <a:xfrm>
                      <a:off x="0" y="0"/>
                      <a:ext cx="2913366" cy="2370202"/>
                    </a:xfrm>
                    <a:prstGeom prst="rect">
                      <a:avLst/>
                    </a:prstGeom>
                  </pic:spPr>
                </pic:pic>
              </a:graphicData>
            </a:graphic>
          </wp:inline>
        </w:drawing>
      </w:r>
    </w:p>
    <w:p>
      <w:pPr>
        <w:spacing w:before="100" w:beforeAutospacing="1" w:after="100" w:afterAutospacing="1"/>
        <w:jc w:val="center"/>
        <w:rPr>
          <w:rFonts w:ascii="微软雅黑" w:hAnsi="微软雅黑" w:eastAsia="微软雅黑"/>
          <w:b/>
          <w:bCs/>
          <w:sz w:val="21"/>
          <w:szCs w:val="21"/>
        </w:rPr>
      </w:pPr>
      <w:r>
        <w:fldChar w:fldCharType="begin"/>
      </w:r>
      <w:r>
        <w:instrText xml:space="preserve"> HYPERLINK "https://www.xinpianchang.com/a12361054" </w:instrText>
      </w:r>
      <w:r>
        <w:fldChar w:fldCharType="separate"/>
      </w:r>
      <w:r>
        <w:rPr>
          <w:rStyle w:val="19"/>
          <w:rFonts w:ascii="微软雅黑" w:hAnsi="微软雅黑" w:eastAsia="微软雅黑"/>
          <w:b/>
          <w:bCs/>
          <w:sz w:val="21"/>
          <w:szCs w:val="21"/>
        </w:rPr>
        <w:t>合生元×阿雅ID视频-广告:其他视频-新片场 (xinpianchang.com)</w:t>
      </w:r>
      <w:r>
        <w:rPr>
          <w:rStyle w:val="19"/>
          <w:rFonts w:ascii="微软雅黑" w:hAnsi="微软雅黑" w:eastAsia="微软雅黑"/>
          <w:b/>
          <w:bCs/>
          <w:sz w:val="21"/>
          <w:szCs w:val="21"/>
        </w:rPr>
        <w:fldChar w:fldCharType="end"/>
      </w:r>
    </w:p>
    <w:p>
      <w:pPr>
        <w:spacing w:before="100" w:beforeAutospacing="1" w:after="100" w:afterAutospacing="1"/>
        <w:rPr>
          <w:rFonts w:ascii="微软雅黑" w:hAnsi="微软雅黑" w:eastAsia="微软雅黑"/>
          <w:bCs/>
          <w:sz w:val="21"/>
          <w:szCs w:val="21"/>
        </w:rPr>
      </w:pPr>
      <w:r>
        <w:rPr>
          <w:rFonts w:hint="eastAsia" w:ascii="微软雅黑" w:hAnsi="微软雅黑" w:eastAsia="微软雅黑"/>
          <w:b/>
          <w:bCs/>
          <w:sz w:val="21"/>
          <w:szCs w:val="21"/>
        </w:rPr>
        <w:t>爆发阶段：</w:t>
      </w:r>
      <w:r>
        <w:rPr>
          <w:rFonts w:hint="eastAsia" w:ascii="微软雅黑" w:hAnsi="微软雅黑" w:eastAsia="微软雅黑"/>
          <w:sz w:val="21"/>
          <w:szCs w:val="21"/>
        </w:rPr>
        <w:t>发布阿雅的专属海报和I</w:t>
      </w:r>
      <w:r>
        <w:rPr>
          <w:rFonts w:ascii="微软雅黑" w:hAnsi="微软雅黑" w:eastAsia="微软雅黑"/>
          <w:sz w:val="21"/>
          <w:szCs w:val="21"/>
        </w:rPr>
        <w:t>D</w:t>
      </w:r>
      <w:r>
        <w:rPr>
          <w:rFonts w:hint="eastAsia" w:ascii="微软雅黑" w:hAnsi="微软雅黑" w:eastAsia="微软雅黑"/>
          <w:sz w:val="21"/>
          <w:szCs w:val="21"/>
        </w:rPr>
        <w:t>视频等，并联合经过挑选的母婴类大V与娱乐博主拉动自有粉丝圈层，强化内容触达。以核心资源集中爆发，包括官方与阿雅微博共同宣传、百万级KOL尺寸扩散，传播效能实现最大化引发妈妈们的共鸣。</w:t>
      </w:r>
    </w:p>
    <w:p>
      <w:pPr>
        <w:spacing w:before="100" w:beforeAutospacing="1" w:after="100" w:afterAutospacing="1"/>
        <w:jc w:val="center"/>
        <w:textAlignment w:val="baseline"/>
        <w:rPr>
          <w:rFonts w:ascii="微软雅黑" w:hAnsi="微软雅黑" w:eastAsia="微软雅黑"/>
          <w:sz w:val="21"/>
          <w:szCs w:val="21"/>
        </w:rPr>
      </w:pPr>
      <w:r>
        <w:rPr>
          <w:rFonts w:ascii="微软雅黑" w:hAnsi="微软雅黑" w:eastAsia="微软雅黑"/>
          <w:sz w:val="21"/>
          <w:szCs w:val="21"/>
        </w:rPr>
        <w:drawing>
          <wp:inline distT="0" distB="0" distL="0" distR="0">
            <wp:extent cx="4325620" cy="1771650"/>
            <wp:effectExtent l="0" t="0" r="0" b="0"/>
            <wp:docPr id="11" name="图片 4" descr="文本,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文本, 白板&#10;&#10;描述已自动生成"/>
                    <pic:cNvPicPr>
                      <a:picLocks noChangeAspect="1"/>
                    </pic:cNvPicPr>
                  </pic:nvPicPr>
                  <pic:blipFill>
                    <a:blip r:embed="rId15"/>
                    <a:stretch>
                      <a:fillRect/>
                    </a:stretch>
                  </pic:blipFill>
                  <pic:spPr>
                    <a:xfrm>
                      <a:off x="0" y="0"/>
                      <a:ext cx="4353166" cy="1783023"/>
                    </a:xfrm>
                    <a:prstGeom prst="rect">
                      <a:avLst/>
                    </a:prstGeom>
                  </pic:spPr>
                </pic:pic>
              </a:graphicData>
            </a:graphic>
          </wp:inline>
        </w:drawing>
      </w:r>
    </w:p>
    <w:p>
      <w:pPr>
        <w:spacing w:before="100" w:beforeAutospacing="1" w:after="100" w:afterAutospacing="1"/>
        <w:rPr>
          <w:rFonts w:ascii="微软雅黑" w:hAnsi="微软雅黑" w:eastAsia="微软雅黑"/>
          <w:sz w:val="21"/>
          <w:szCs w:val="21"/>
        </w:rPr>
      </w:pPr>
      <w:r>
        <w:rPr>
          <w:rFonts w:hint="eastAsia" w:ascii="微软雅黑" w:hAnsi="微软雅黑" w:eastAsia="微软雅黑"/>
          <w:b/>
          <w:bCs/>
          <w:sz w:val="21"/>
          <w:szCs w:val="21"/>
        </w:rPr>
        <w:t>活动爆发当日：</w:t>
      </w:r>
      <w:r>
        <w:rPr>
          <w:rFonts w:hint="eastAsia" w:ascii="微软雅黑" w:hAnsi="微软雅黑" w:eastAsia="微软雅黑"/>
          <w:sz w:val="21"/>
          <w:szCs w:val="21"/>
        </w:rPr>
        <w:t>同时</w:t>
      </w:r>
      <w:bookmarkStart w:id="4" w:name="_Hlk122535621"/>
      <w:r>
        <w:rPr>
          <w:rFonts w:hint="eastAsia" w:ascii="微软雅黑" w:hAnsi="微软雅黑" w:eastAsia="微软雅黑"/>
          <w:sz w:val="21"/>
          <w:szCs w:val="21"/>
        </w:rPr>
        <w:t>承包广州和南京两座城市点亮广发证券大厦和南京青奥中心双塔两座超级地标，深圳、杭州、南京、长沙的黄金地段，开展线下一线城市地标灯光秀和户</w:t>
      </w:r>
      <w:bookmarkEnd w:id="4"/>
      <w:r>
        <w:rPr>
          <w:rFonts w:hint="eastAsia" w:ascii="微软雅黑" w:hAnsi="微软雅黑" w:eastAsia="微软雅黑"/>
          <w:sz w:val="21"/>
          <w:szCs w:val="21"/>
        </w:rPr>
        <w:t>外广告冲击波。</w:t>
      </w:r>
    </w:p>
    <w:p>
      <w:pPr>
        <w:spacing w:before="100" w:beforeAutospacing="1" w:after="100" w:afterAutospacing="1"/>
        <w:jc w:val="center"/>
        <w:textAlignment w:val="baseline"/>
        <w:rPr>
          <w:rFonts w:ascii="微软雅黑" w:hAnsi="微软雅黑" w:eastAsia="微软雅黑"/>
          <w:sz w:val="21"/>
          <w:szCs w:val="21"/>
        </w:rPr>
      </w:pPr>
      <w:r>
        <w:rPr>
          <w:sz w:val="21"/>
          <w:szCs w:val="21"/>
        </w:rPr>
        <w:drawing>
          <wp:inline distT="0" distB="0" distL="0" distR="0">
            <wp:extent cx="4323080" cy="2613660"/>
            <wp:effectExtent l="0" t="0" r="1270" b="0"/>
            <wp:docPr id="7" name="图片 7"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网站&#10;&#10;描述已自动生成"/>
                    <pic:cNvPicPr>
                      <a:picLocks noChangeAspect="1"/>
                    </pic:cNvPicPr>
                  </pic:nvPicPr>
                  <pic:blipFill>
                    <a:blip r:embed="rId16"/>
                    <a:stretch>
                      <a:fillRect/>
                    </a:stretch>
                  </pic:blipFill>
                  <pic:spPr>
                    <a:xfrm>
                      <a:off x="0" y="0"/>
                      <a:ext cx="4323080" cy="2613660"/>
                    </a:xfrm>
                    <a:prstGeom prst="rect">
                      <a:avLst/>
                    </a:prstGeom>
                  </pic:spPr>
                </pic:pic>
              </a:graphicData>
            </a:graphic>
          </wp:inline>
        </w:drawing>
      </w:r>
    </w:p>
    <w:p>
      <w:pPr>
        <w:spacing w:before="100" w:beforeAutospacing="1" w:after="100" w:afterAutospacing="1"/>
        <w:rPr>
          <w:rFonts w:ascii="微软雅黑" w:hAnsi="微软雅黑" w:eastAsia="微软雅黑"/>
          <w:bCs/>
          <w:sz w:val="21"/>
          <w:szCs w:val="21"/>
        </w:rPr>
      </w:pPr>
      <w:r>
        <w:rPr>
          <w:rFonts w:hint="eastAsia" w:ascii="微软雅黑" w:hAnsi="微软雅黑" w:eastAsia="微软雅黑"/>
          <w:b/>
          <w:bCs/>
          <w:sz w:val="21"/>
          <w:szCs w:val="21"/>
        </w:rPr>
        <w:t>引流配合</w:t>
      </w:r>
      <w:bookmarkStart w:id="5" w:name="_Hlk122535804"/>
      <w:r>
        <w:rPr>
          <w:rFonts w:hint="eastAsia" w:ascii="微软雅黑" w:hAnsi="微软雅黑" w:eastAsia="微软雅黑"/>
          <w:b/>
          <w:bCs/>
          <w:sz w:val="21"/>
          <w:szCs w:val="21"/>
        </w:rPr>
        <w:t>：</w:t>
      </w:r>
      <w:r>
        <w:rPr>
          <w:rFonts w:hint="eastAsia" w:ascii="微软雅黑" w:hAnsi="微软雅黑" w:eastAsia="微软雅黑"/>
          <w:sz w:val="21"/>
          <w:szCs w:val="21"/>
        </w:rPr>
        <w:t>爆发当天当站外粉丝集结在京东超市站内后，落地页视觉进一步丰富消费者的购买体验，一步步拉满下单购买的欲望，实现站外视频引流-站内用户体验的完整链路。</w:t>
      </w:r>
    </w:p>
    <w:bookmarkEnd w:id="5"/>
    <w:p>
      <w:pPr>
        <w:spacing w:before="100" w:beforeAutospacing="1" w:after="100" w:afterAutospacing="1"/>
        <w:jc w:val="center"/>
        <w:textAlignment w:val="baseline"/>
        <w:rPr>
          <w:rFonts w:ascii="微软雅黑" w:hAnsi="微软雅黑" w:eastAsia="微软雅黑"/>
          <w:sz w:val="21"/>
          <w:szCs w:val="21"/>
        </w:rPr>
      </w:pPr>
      <w:r>
        <w:rPr>
          <w:rFonts w:asciiTheme="minorHAnsi" w:hAnsiTheme="minorHAnsi" w:eastAsiaTheme="minorEastAsia"/>
          <w:szCs w:val="22"/>
        </w:rPr>
        <w:drawing>
          <wp:inline distT="0" distB="0" distL="0" distR="0">
            <wp:extent cx="4261485" cy="2256155"/>
            <wp:effectExtent l="0" t="0" r="5715" b="0"/>
            <wp:docPr id="36" name="图片 35"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手机屏幕截图&#10;&#10;中度可信度描述已自动生成"/>
                    <pic:cNvPicPr>
                      <a:picLocks noChangeAspect="1"/>
                    </pic:cNvPicPr>
                  </pic:nvPicPr>
                  <pic:blipFill>
                    <a:blip r:embed="rId17"/>
                    <a:stretch>
                      <a:fillRect/>
                    </a:stretch>
                  </pic:blipFill>
                  <pic:spPr>
                    <a:xfrm>
                      <a:off x="0" y="0"/>
                      <a:ext cx="4321406" cy="2287916"/>
                    </a:xfrm>
                    <a:prstGeom prst="rect">
                      <a:avLst/>
                    </a:prstGeom>
                  </pic:spPr>
                </pic:pic>
              </a:graphicData>
            </a:graphic>
          </wp:inline>
        </w:drawing>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营销效果与市场反馈</w:t>
      </w:r>
    </w:p>
    <w:p>
      <w:pPr>
        <w:spacing w:before="100" w:beforeAutospacing="1" w:after="100" w:afterAutospacing="1"/>
        <w:rPr>
          <w:rFonts w:ascii="微软雅黑" w:hAnsi="微软雅黑" w:eastAsia="微软雅黑"/>
          <w:b/>
          <w:sz w:val="21"/>
          <w:szCs w:val="21"/>
        </w:rPr>
      </w:pPr>
      <w:bookmarkStart w:id="6" w:name="_Hlk122535877"/>
      <w:r>
        <w:rPr>
          <w:rFonts w:hint="eastAsia" w:ascii="微软雅黑" w:hAnsi="微软雅黑" w:eastAsia="微软雅黑"/>
          <w:sz w:val="21"/>
          <w:szCs w:val="21"/>
        </w:rPr>
        <w:t>活动期间，成交总额超</w:t>
      </w:r>
      <w:r>
        <w:rPr>
          <w:rFonts w:hint="eastAsia" w:ascii="微软雅黑" w:hAnsi="微软雅黑" w:eastAsia="微软雅黑"/>
          <w:b/>
          <w:bCs/>
          <w:sz w:val="21"/>
          <w:szCs w:val="21"/>
        </w:rPr>
        <w:t>1</w:t>
      </w:r>
      <w:r>
        <w:rPr>
          <w:rFonts w:ascii="微软雅黑" w:hAnsi="微软雅黑" w:eastAsia="微软雅黑"/>
          <w:b/>
          <w:bCs/>
          <w:sz w:val="21"/>
          <w:szCs w:val="21"/>
        </w:rPr>
        <w:t>000万</w:t>
      </w:r>
      <w:r>
        <w:rPr>
          <w:rFonts w:ascii="微软雅黑" w:hAnsi="微软雅黑" w:eastAsia="微软雅黑"/>
          <w:sz w:val="21"/>
          <w:szCs w:val="21"/>
        </w:rPr>
        <w:t>，同比</w:t>
      </w:r>
      <w:r>
        <w:rPr>
          <w:rFonts w:hint="eastAsia" w:ascii="微软雅黑" w:hAnsi="微软雅黑" w:eastAsia="微软雅黑"/>
          <w:sz w:val="21"/>
          <w:szCs w:val="21"/>
        </w:rPr>
        <w:t>增长</w:t>
      </w:r>
      <w:r>
        <w:rPr>
          <w:rFonts w:hint="eastAsia" w:ascii="微软雅黑" w:hAnsi="微软雅黑" w:eastAsia="微软雅黑"/>
          <w:b/>
          <w:bCs/>
          <w:sz w:val="21"/>
          <w:szCs w:val="21"/>
        </w:rPr>
        <w:t>3</w:t>
      </w:r>
      <w:r>
        <w:rPr>
          <w:rFonts w:ascii="微软雅黑" w:hAnsi="微软雅黑" w:eastAsia="微软雅黑"/>
          <w:b/>
          <w:bCs/>
          <w:sz w:val="21"/>
          <w:szCs w:val="21"/>
        </w:rPr>
        <w:t>7</w:t>
      </w:r>
      <w:r>
        <w:rPr>
          <w:rFonts w:hint="eastAsia" w:ascii="微软雅黑" w:hAnsi="微软雅黑" w:eastAsia="微软雅黑"/>
          <w:b/>
          <w:bCs/>
          <w:sz w:val="21"/>
          <w:szCs w:val="21"/>
        </w:rPr>
        <w:t>%</w:t>
      </w:r>
      <w:r>
        <w:rPr>
          <w:rFonts w:hint="eastAsia" w:ascii="微软雅黑" w:hAnsi="微软雅黑" w:eastAsia="微软雅黑"/>
          <w:sz w:val="21"/>
          <w:szCs w:val="21"/>
        </w:rPr>
        <w:t>；7月2</w:t>
      </w:r>
      <w:r>
        <w:rPr>
          <w:rFonts w:ascii="微软雅黑" w:hAnsi="微软雅黑" w:eastAsia="微软雅黑"/>
          <w:sz w:val="21"/>
          <w:szCs w:val="21"/>
        </w:rPr>
        <w:t>5</w:t>
      </w:r>
      <w:r>
        <w:rPr>
          <w:rFonts w:hint="eastAsia" w:ascii="微软雅黑" w:hAnsi="微软雅黑" w:eastAsia="微软雅黑"/>
          <w:sz w:val="21"/>
          <w:szCs w:val="21"/>
        </w:rPr>
        <w:t>日爆发日销售增长显著，超4</w:t>
      </w:r>
      <w:r>
        <w:rPr>
          <w:rFonts w:ascii="微软雅黑" w:hAnsi="微软雅黑" w:eastAsia="微软雅黑"/>
          <w:sz w:val="21"/>
          <w:szCs w:val="21"/>
        </w:rPr>
        <w:t>10</w:t>
      </w:r>
      <w:r>
        <w:rPr>
          <w:rFonts w:hint="eastAsia" w:ascii="微软雅黑" w:hAnsi="微软雅黑" w:eastAsia="微软雅黑"/>
          <w:sz w:val="21"/>
          <w:szCs w:val="21"/>
        </w:rPr>
        <w:t>万，目标达成</w:t>
      </w:r>
      <w:r>
        <w:rPr>
          <w:rFonts w:hint="eastAsia" w:ascii="微软雅黑" w:hAnsi="微软雅黑" w:eastAsia="微软雅黑"/>
          <w:b/>
          <w:bCs/>
          <w:sz w:val="21"/>
          <w:szCs w:val="21"/>
        </w:rPr>
        <w:t>1</w:t>
      </w:r>
      <w:r>
        <w:rPr>
          <w:rFonts w:ascii="微软雅黑" w:hAnsi="微软雅黑" w:eastAsia="微软雅黑"/>
          <w:b/>
          <w:bCs/>
          <w:sz w:val="21"/>
          <w:szCs w:val="21"/>
        </w:rPr>
        <w:t>17%</w:t>
      </w:r>
      <w:r>
        <w:rPr>
          <w:rFonts w:ascii="微软雅黑" w:hAnsi="微软雅黑" w:eastAsia="微软雅黑"/>
          <w:sz w:val="21"/>
          <w:szCs w:val="21"/>
        </w:rPr>
        <w:t>，</w:t>
      </w:r>
      <w:r>
        <w:rPr>
          <w:rFonts w:hint="eastAsia" w:ascii="微软雅黑" w:hAnsi="微软雅黑" w:eastAsia="微软雅黑"/>
          <w:sz w:val="21"/>
          <w:szCs w:val="21"/>
        </w:rPr>
        <w:t>销量同比增长</w:t>
      </w:r>
      <w:r>
        <w:rPr>
          <w:rFonts w:ascii="微软雅黑" w:hAnsi="微软雅黑" w:eastAsia="微软雅黑"/>
          <w:b/>
          <w:bCs/>
          <w:sz w:val="21"/>
          <w:szCs w:val="21"/>
        </w:rPr>
        <w:t>230</w:t>
      </w:r>
      <w:r>
        <w:rPr>
          <w:rFonts w:hint="eastAsia" w:ascii="微软雅黑" w:hAnsi="微软雅黑" w:eastAsia="微软雅黑"/>
          <w:b/>
          <w:bCs/>
          <w:sz w:val="21"/>
          <w:szCs w:val="21"/>
        </w:rPr>
        <w:t>%</w:t>
      </w:r>
      <w:r>
        <w:rPr>
          <w:rFonts w:hint="eastAsia" w:ascii="微软雅黑" w:hAnsi="微软雅黑" w:eastAsia="微软雅黑"/>
          <w:sz w:val="21"/>
          <w:szCs w:val="21"/>
        </w:rPr>
        <w:t>。</w:t>
      </w:r>
    </w:p>
    <w:p>
      <w:pPr>
        <w:spacing w:before="100" w:beforeAutospacing="1" w:after="100" w:afterAutospacing="1"/>
        <w:rPr>
          <w:rFonts w:ascii="微软雅黑" w:hAnsi="微软雅黑" w:eastAsia="微软雅黑"/>
          <w:b/>
          <w:sz w:val="21"/>
          <w:szCs w:val="21"/>
        </w:rPr>
      </w:pPr>
      <w:r>
        <w:rPr>
          <w:rFonts w:hint="eastAsia" w:ascii="微软雅黑" w:hAnsi="微软雅黑" w:eastAsia="微软雅黑"/>
          <w:sz w:val="21"/>
          <w:szCs w:val="21"/>
        </w:rPr>
        <w:t>站外传播线上线下曝光超</w:t>
      </w:r>
      <w:r>
        <w:rPr>
          <w:rFonts w:ascii="微软雅黑" w:hAnsi="微软雅黑" w:eastAsia="微软雅黑"/>
          <w:b/>
          <w:bCs/>
          <w:sz w:val="21"/>
          <w:szCs w:val="21"/>
        </w:rPr>
        <w:t>7000</w:t>
      </w:r>
      <w:r>
        <w:rPr>
          <w:rFonts w:hint="eastAsia" w:ascii="微软雅黑" w:hAnsi="微软雅黑" w:eastAsia="微软雅黑"/>
          <w:b/>
          <w:bCs/>
          <w:sz w:val="21"/>
          <w:szCs w:val="21"/>
        </w:rPr>
        <w:t>万+</w:t>
      </w:r>
      <w:r>
        <w:rPr>
          <w:rFonts w:hint="eastAsia" w:ascii="微软雅黑" w:hAnsi="微软雅黑" w:eastAsia="微软雅黑"/>
          <w:sz w:val="21"/>
          <w:szCs w:val="21"/>
        </w:rPr>
        <w:t>；活动期间页面浏览量超</w:t>
      </w:r>
      <w:r>
        <w:rPr>
          <w:rFonts w:ascii="微软雅黑" w:hAnsi="微软雅黑" w:eastAsia="微软雅黑"/>
          <w:b/>
          <w:bCs/>
          <w:sz w:val="21"/>
          <w:szCs w:val="21"/>
        </w:rPr>
        <w:t>170</w:t>
      </w:r>
      <w:r>
        <w:rPr>
          <w:rFonts w:hint="eastAsia" w:ascii="微软雅黑" w:hAnsi="微软雅黑" w:eastAsia="微软雅黑"/>
          <w:b/>
          <w:bCs/>
          <w:sz w:val="21"/>
          <w:szCs w:val="21"/>
        </w:rPr>
        <w:t>W</w:t>
      </w:r>
      <w:r>
        <w:rPr>
          <w:rFonts w:ascii="微软雅黑" w:hAnsi="微软雅黑" w:eastAsia="微软雅黑"/>
          <w:b/>
          <w:bCs/>
          <w:sz w:val="21"/>
          <w:szCs w:val="21"/>
        </w:rPr>
        <w:t>+</w:t>
      </w:r>
      <w:r>
        <w:rPr>
          <w:rFonts w:hint="eastAsia" w:ascii="微软雅黑" w:hAnsi="微软雅黑" w:eastAsia="微软雅黑"/>
          <w:sz w:val="21"/>
          <w:szCs w:val="21"/>
        </w:rPr>
        <w:t>，访客量超</w:t>
      </w:r>
      <w:r>
        <w:rPr>
          <w:rFonts w:hint="eastAsia" w:ascii="微软雅黑" w:hAnsi="微软雅黑" w:eastAsia="微软雅黑"/>
          <w:b/>
          <w:bCs/>
          <w:sz w:val="21"/>
          <w:szCs w:val="21"/>
        </w:rPr>
        <w:t>3</w:t>
      </w:r>
      <w:r>
        <w:rPr>
          <w:rFonts w:ascii="微软雅黑" w:hAnsi="微软雅黑" w:eastAsia="微软雅黑"/>
          <w:b/>
          <w:bCs/>
          <w:sz w:val="21"/>
          <w:szCs w:val="21"/>
        </w:rPr>
        <w:t>5</w:t>
      </w:r>
      <w:r>
        <w:rPr>
          <w:rFonts w:hint="eastAsia" w:ascii="微软雅黑" w:hAnsi="微软雅黑" w:eastAsia="微软雅黑"/>
          <w:b/>
          <w:bCs/>
          <w:sz w:val="21"/>
          <w:szCs w:val="21"/>
        </w:rPr>
        <w:t>W</w:t>
      </w:r>
      <w:r>
        <w:rPr>
          <w:rFonts w:ascii="微软雅黑" w:hAnsi="微软雅黑" w:eastAsia="微软雅黑"/>
          <w:b/>
          <w:bCs/>
          <w:sz w:val="21"/>
          <w:szCs w:val="21"/>
        </w:rPr>
        <w:t>+</w:t>
      </w:r>
      <w:r>
        <w:rPr>
          <w:rFonts w:hint="eastAsia" w:ascii="微软雅黑" w:hAnsi="微软雅黑" w:eastAsia="微软雅黑"/>
          <w:sz w:val="21"/>
          <w:szCs w:val="21"/>
        </w:rPr>
        <w:t>；各类话题文章微博阅读量突破</w:t>
      </w:r>
      <w:r>
        <w:rPr>
          <w:rFonts w:hint="eastAsia" w:ascii="微软雅黑" w:hAnsi="微软雅黑" w:eastAsia="微软雅黑"/>
          <w:b/>
          <w:bCs/>
          <w:sz w:val="21"/>
          <w:szCs w:val="21"/>
        </w:rPr>
        <w:t>3</w:t>
      </w:r>
      <w:r>
        <w:rPr>
          <w:rFonts w:ascii="微软雅黑" w:hAnsi="微软雅黑" w:eastAsia="微软雅黑"/>
          <w:b/>
          <w:bCs/>
          <w:sz w:val="21"/>
          <w:szCs w:val="21"/>
        </w:rPr>
        <w:t>730</w:t>
      </w:r>
      <w:r>
        <w:rPr>
          <w:rFonts w:hint="eastAsia" w:ascii="微软雅黑" w:hAnsi="微软雅黑" w:eastAsia="微软雅黑"/>
          <w:b/>
          <w:bCs/>
          <w:sz w:val="21"/>
          <w:szCs w:val="21"/>
        </w:rPr>
        <w:t>万+</w:t>
      </w:r>
      <w:r>
        <w:rPr>
          <w:rFonts w:hint="eastAsia" w:ascii="微软雅黑" w:hAnsi="微软雅黑" w:eastAsia="微软雅黑"/>
          <w:sz w:val="21"/>
          <w:szCs w:val="21"/>
        </w:rPr>
        <w:t>。</w:t>
      </w:r>
    </w:p>
    <w:p>
      <w:pPr>
        <w:spacing w:before="100" w:beforeAutospacing="1" w:after="100" w:afterAutospacing="1"/>
        <w:rPr>
          <w:rFonts w:ascii="微软雅黑" w:hAnsi="微软雅黑" w:eastAsia="微软雅黑"/>
          <w:bCs/>
          <w:sz w:val="21"/>
          <w:szCs w:val="21"/>
        </w:rPr>
      </w:pPr>
      <w:r>
        <w:rPr>
          <w:rFonts w:hint="eastAsia" w:ascii="微软雅黑" w:hAnsi="微软雅黑" w:eastAsia="微软雅黑"/>
          <w:sz w:val="21"/>
          <w:szCs w:val="21"/>
        </w:rPr>
        <w:t>通过品牌大使阿雅、网红大咖、</w:t>
      </w:r>
      <w:r>
        <w:rPr>
          <w:rFonts w:ascii="微软雅黑" w:hAnsi="微软雅黑" w:eastAsia="微软雅黑"/>
          <w:sz w:val="21"/>
          <w:szCs w:val="21"/>
        </w:rPr>
        <w:t>千万级</w:t>
      </w:r>
      <w:r>
        <w:rPr>
          <w:rFonts w:hint="eastAsia" w:ascii="微软雅黑" w:hAnsi="微软雅黑" w:eastAsia="微软雅黑"/>
          <w:sz w:val="21"/>
          <w:szCs w:val="21"/>
        </w:rPr>
        <w:t>K</w:t>
      </w:r>
      <w:r>
        <w:rPr>
          <w:rFonts w:ascii="微软雅黑" w:hAnsi="微软雅黑" w:eastAsia="微软雅黑"/>
          <w:sz w:val="21"/>
          <w:szCs w:val="21"/>
        </w:rPr>
        <w:t>OL组成的联合传播矩阵</w:t>
      </w:r>
      <w:r>
        <w:rPr>
          <w:rFonts w:hint="eastAsia" w:ascii="微软雅黑" w:hAnsi="微软雅黑" w:eastAsia="微软雅黑"/>
          <w:sz w:val="21"/>
          <w:szCs w:val="21"/>
        </w:rPr>
        <w:t>，利用大热综艺I</w:t>
      </w:r>
      <w:r>
        <w:rPr>
          <w:rFonts w:ascii="微软雅黑" w:hAnsi="微软雅黑" w:eastAsia="微软雅黑"/>
          <w:sz w:val="21"/>
          <w:szCs w:val="21"/>
        </w:rPr>
        <w:t>P</w:t>
      </w:r>
      <w:r>
        <w:rPr>
          <w:rFonts w:hint="eastAsia" w:ascii="微软雅黑" w:hAnsi="微软雅黑" w:eastAsia="微软雅黑"/>
          <w:sz w:val="21"/>
          <w:szCs w:val="21"/>
        </w:rPr>
        <w:t>完成了更广阔的潜在人群挖掘和触达。同时也拓展了大量复购会员、忠实用户存量，成功提升店铺客单价和口碑，为即将到来的9</w:t>
      </w:r>
      <w:r>
        <w:rPr>
          <w:rFonts w:ascii="微软雅黑" w:hAnsi="微软雅黑" w:eastAsia="微软雅黑"/>
          <w:sz w:val="21"/>
          <w:szCs w:val="21"/>
        </w:rPr>
        <w:t>9</w:t>
      </w:r>
      <w:r>
        <w:rPr>
          <w:rFonts w:hint="eastAsia" w:ascii="微软雅黑" w:hAnsi="微软雅黑" w:eastAsia="微软雅黑"/>
          <w:sz w:val="21"/>
          <w:szCs w:val="21"/>
        </w:rPr>
        <w:t>大促、双十一深厚蓄水。</w:t>
      </w:r>
    </w:p>
    <w:bookmarkEnd w:id="6"/>
    <w:p>
      <w:pPr>
        <w:spacing w:before="100" w:beforeAutospacing="1" w:after="100" w:afterAutospacing="1"/>
        <w:jc w:val="center"/>
        <w:rPr>
          <w:rFonts w:ascii="微软雅黑" w:hAnsi="微软雅黑" w:eastAsia="微软雅黑"/>
          <w:sz w:val="21"/>
          <w:szCs w:val="21"/>
        </w:rPr>
      </w:pPr>
      <w:bookmarkStart w:id="7" w:name="_GoBack"/>
      <w:bookmarkEnd w:id="7"/>
      <w:r>
        <w:rPr>
          <w:sz w:val="21"/>
          <w:szCs w:val="21"/>
        </w:rPr>
        <w:drawing>
          <wp:inline distT="0" distB="0" distL="0" distR="0">
            <wp:extent cx="4368800" cy="4269740"/>
            <wp:effectExtent l="0" t="0" r="0" b="0"/>
            <wp:docPr id="5" name="图片 5"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日历&#10;&#10;中度可信度描述已自动生成"/>
                    <pic:cNvPicPr>
                      <a:picLocks noChangeAspect="1"/>
                    </pic:cNvPicPr>
                  </pic:nvPicPr>
                  <pic:blipFill>
                    <a:blip r:embed="rId18"/>
                    <a:stretch>
                      <a:fillRect/>
                    </a:stretch>
                  </pic:blipFill>
                  <pic:spPr>
                    <a:xfrm>
                      <a:off x="0" y="0"/>
                      <a:ext cx="4391182" cy="4291448"/>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r>
      <w:fldChar w:fldCharType="begin"/>
    </w:r>
    <w:r>
      <w:rPr>
        <w:rStyle w:val="16"/>
      </w:rPr>
      <w:instrText xml:space="preserve">PAGE  </w:instrText>
    </w:r>
    <w:r>
      <w:fldChar w:fldCharType="separate"/>
    </w:r>
    <w:r>
      <w:rPr>
        <w:rStyle w:val="16"/>
      </w:rPr>
      <w:t>1</w:t>
    </w:r>
    <w:r>
      <w:fldChar w:fldCharType="end"/>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1845CB"/>
    <w:multiLevelType w:val="multilevel"/>
    <w:tmpl w:val="0B1845C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0OGU4OWUyMzhmZTI5N2I5YWVhZjVjNzgxYWMyZmQifQ=="/>
  </w:docVars>
  <w:rsids>
    <w:rsidRoot w:val="00172A27"/>
    <w:rsid w:val="00000FCE"/>
    <w:rsid w:val="00020E7A"/>
    <w:rsid w:val="000237FB"/>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1423"/>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8644F"/>
    <w:rsid w:val="00190ED1"/>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2F5B"/>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A4A67"/>
    <w:rsid w:val="003B2C13"/>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A74E6"/>
    <w:rsid w:val="004B64AF"/>
    <w:rsid w:val="004C539E"/>
    <w:rsid w:val="004D3EF9"/>
    <w:rsid w:val="004D53A9"/>
    <w:rsid w:val="004E4307"/>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3C7"/>
    <w:rsid w:val="0055479D"/>
    <w:rsid w:val="00567477"/>
    <w:rsid w:val="0057565D"/>
    <w:rsid w:val="005764AD"/>
    <w:rsid w:val="0058033D"/>
    <w:rsid w:val="00582608"/>
    <w:rsid w:val="00582F7D"/>
    <w:rsid w:val="005A539D"/>
    <w:rsid w:val="005A56AE"/>
    <w:rsid w:val="005A697D"/>
    <w:rsid w:val="005B2564"/>
    <w:rsid w:val="005B2B0D"/>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5D81"/>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20F2"/>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4FF6"/>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22"/>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5837"/>
    <w:rsid w:val="00BB7C80"/>
    <w:rsid w:val="00BC1804"/>
    <w:rsid w:val="00BC7577"/>
    <w:rsid w:val="00BD5747"/>
    <w:rsid w:val="00BD741B"/>
    <w:rsid w:val="00BD7FD3"/>
    <w:rsid w:val="00BE28C0"/>
    <w:rsid w:val="00BF2065"/>
    <w:rsid w:val="00BF6726"/>
    <w:rsid w:val="00C00168"/>
    <w:rsid w:val="00C04E7B"/>
    <w:rsid w:val="00C078EC"/>
    <w:rsid w:val="00C14791"/>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B4F53"/>
    <w:rsid w:val="00DC32E7"/>
    <w:rsid w:val="00DC397E"/>
    <w:rsid w:val="00DD56E4"/>
    <w:rsid w:val="00DE32B0"/>
    <w:rsid w:val="00DE4052"/>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27FB47AE"/>
    <w:rsid w:val="77EC6AC7"/>
    <w:rsid w:val="F67DD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4">
    <w:name w:val="Default Paragraph Font"/>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30"/>
    <w:semiHidden/>
    <w:unhideWhenUsed/>
    <w:qFormat/>
    <w:uiPriority w:val="99"/>
  </w:style>
  <w:style w:type="paragraph" w:styleId="4">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5">
    <w:name w:val="Plain Text"/>
    <w:basedOn w:val="1"/>
    <w:qFormat/>
    <w:uiPriority w:val="0"/>
    <w:rPr>
      <w:rFonts w:ascii="Arial" w:hAnsi="Arial" w:cs="Times New Roman"/>
      <w:sz w:val="18"/>
      <w:szCs w:val="20"/>
    </w:rPr>
  </w:style>
  <w:style w:type="paragraph" w:styleId="6">
    <w:name w:val="Balloon Text"/>
    <w:basedOn w:val="1"/>
    <w:link w:val="29"/>
    <w:semiHidden/>
    <w:unhideWhenUsed/>
    <w:qFormat/>
    <w:uiPriority w:val="99"/>
    <w:rPr>
      <w:sz w:val="18"/>
      <w:szCs w:val="18"/>
    </w:rPr>
  </w:style>
  <w:style w:type="paragraph" w:styleId="7">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8">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9">
    <w:name w:val="Normal (Web)"/>
    <w:basedOn w:val="1"/>
    <w:qFormat/>
    <w:uiPriority w:val="0"/>
    <w:pPr>
      <w:spacing w:before="100" w:beforeAutospacing="1" w:after="100" w:afterAutospacing="1"/>
    </w:pPr>
    <w:rPr>
      <w:rFonts w:cs="Times New Roman"/>
      <w:szCs w:val="20"/>
    </w:rPr>
  </w:style>
  <w:style w:type="paragraph" w:styleId="10">
    <w:name w:val="Title"/>
    <w:basedOn w:val="1"/>
    <w:link w:val="21"/>
    <w:qFormat/>
    <w:uiPriority w:val="0"/>
    <w:pPr>
      <w:jc w:val="center"/>
    </w:pPr>
    <w:rPr>
      <w:rFonts w:ascii="Times New Roman" w:hAnsi="Times New Roman" w:cs="Times New Roman"/>
      <w:b/>
      <w:kern w:val="2"/>
      <w:sz w:val="28"/>
      <w:szCs w:val="20"/>
      <w:lang w:eastAsia="en-US"/>
    </w:rPr>
  </w:style>
  <w:style w:type="paragraph" w:styleId="11">
    <w:name w:val="annotation subject"/>
    <w:basedOn w:val="3"/>
    <w:next w:val="3"/>
    <w:link w:val="31"/>
    <w:semiHidden/>
    <w:unhideWhenUsed/>
    <w:qFormat/>
    <w:uiPriority w:val="99"/>
    <w:rPr>
      <w:b/>
      <w:bCs/>
    </w:rPr>
  </w:style>
  <w:style w:type="table" w:styleId="13">
    <w:name w:val="Table Grid"/>
    <w:basedOn w:val="1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styleId="17">
    <w:name w:val="FollowedHyperlink"/>
    <w:basedOn w:val="14"/>
    <w:semiHidden/>
    <w:unhideWhenUsed/>
    <w:uiPriority w:val="99"/>
    <w:rPr>
      <w:color w:val="800080" w:themeColor="followedHyperlink"/>
      <w:u w:val="single"/>
      <w14:textFill>
        <w14:solidFill>
          <w14:schemeClr w14:val="folHlink"/>
        </w14:solidFill>
      </w14:textFill>
    </w:rPr>
  </w:style>
  <w:style w:type="character" w:styleId="18">
    <w:name w:val="Emphasis"/>
    <w:basedOn w:val="14"/>
    <w:qFormat/>
    <w:uiPriority w:val="0"/>
    <w:rPr>
      <w:i/>
    </w:rPr>
  </w:style>
  <w:style w:type="character" w:styleId="19">
    <w:name w:val="Hyperlink"/>
    <w:basedOn w:val="14"/>
    <w:qFormat/>
    <w:uiPriority w:val="0"/>
    <w:rPr>
      <w:color w:val="0000FF"/>
      <w:u w:val="single"/>
    </w:rPr>
  </w:style>
  <w:style w:type="character" w:styleId="20">
    <w:name w:val="annotation reference"/>
    <w:basedOn w:val="14"/>
    <w:semiHidden/>
    <w:unhideWhenUsed/>
    <w:qFormat/>
    <w:uiPriority w:val="99"/>
    <w:rPr>
      <w:sz w:val="21"/>
      <w:szCs w:val="21"/>
    </w:rPr>
  </w:style>
  <w:style w:type="character" w:customStyle="1" w:styleId="21">
    <w:name w:val="标题 字符"/>
    <w:basedOn w:val="14"/>
    <w:link w:val="10"/>
    <w:qFormat/>
    <w:uiPriority w:val="0"/>
    <w:rPr>
      <w:b/>
      <w:sz w:val="28"/>
      <w:lang w:eastAsia="en-US"/>
    </w:rPr>
  </w:style>
  <w:style w:type="character" w:customStyle="1" w:styleId="22">
    <w:name w:val="bottom1"/>
    <w:basedOn w:val="14"/>
    <w:qFormat/>
    <w:uiPriority w:val="0"/>
    <w:rPr>
      <w:color w:val="6E6E6E"/>
    </w:rPr>
  </w:style>
  <w:style w:type="character" w:customStyle="1" w:styleId="23">
    <w:name w:val="apple-converted-space"/>
    <w:basedOn w:val="14"/>
    <w:qFormat/>
    <w:uiPriority w:val="0"/>
  </w:style>
  <w:style w:type="character" w:customStyle="1" w:styleId="24">
    <w:name w:val="apple-style-span"/>
    <w:basedOn w:val="14"/>
    <w:qFormat/>
    <w:uiPriority w:val="0"/>
  </w:style>
  <w:style w:type="paragraph" w:styleId="25">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6">
    <w:name w:val="p0"/>
    <w:basedOn w:val="1"/>
    <w:qFormat/>
    <w:uiPriority w:val="0"/>
    <w:pPr>
      <w:jc w:val="both"/>
    </w:pPr>
    <w:rPr>
      <w:rFonts w:ascii="Times New Roman" w:hAnsi="Times New Roman" w:cs="Times New Roman"/>
      <w:sz w:val="21"/>
      <w:szCs w:val="20"/>
    </w:rPr>
  </w:style>
  <w:style w:type="paragraph" w:customStyle="1" w:styleId="27">
    <w:name w:val="css"/>
    <w:basedOn w:val="1"/>
    <w:qFormat/>
    <w:uiPriority w:val="0"/>
    <w:pPr>
      <w:spacing w:before="100" w:beforeAutospacing="1" w:after="100" w:afterAutospacing="1"/>
    </w:pPr>
    <w:rPr>
      <w:rFonts w:cs="Times New Roman"/>
      <w:color w:val="0F0000"/>
      <w:sz w:val="18"/>
      <w:szCs w:val="20"/>
    </w:rPr>
  </w:style>
  <w:style w:type="paragraph" w:customStyle="1" w:styleId="28">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9">
    <w:name w:val="批注框文本 字符"/>
    <w:basedOn w:val="14"/>
    <w:link w:val="6"/>
    <w:semiHidden/>
    <w:qFormat/>
    <w:uiPriority w:val="99"/>
    <w:rPr>
      <w:kern w:val="2"/>
      <w:sz w:val="18"/>
      <w:szCs w:val="18"/>
    </w:rPr>
  </w:style>
  <w:style w:type="character" w:customStyle="1" w:styleId="30">
    <w:name w:val="批注文字 字符"/>
    <w:basedOn w:val="14"/>
    <w:link w:val="3"/>
    <w:semiHidden/>
    <w:qFormat/>
    <w:uiPriority w:val="99"/>
    <w:rPr>
      <w:rFonts w:ascii="宋体" w:hAnsi="宋体" w:cs="宋体"/>
      <w:sz w:val="24"/>
      <w:szCs w:val="24"/>
    </w:rPr>
  </w:style>
  <w:style w:type="character" w:customStyle="1" w:styleId="31">
    <w:name w:val="批注主题 字符"/>
    <w:basedOn w:val="30"/>
    <w:link w:val="11"/>
    <w:semiHidden/>
    <w:qFormat/>
    <w:uiPriority w:val="99"/>
    <w:rPr>
      <w:rFonts w:ascii="宋体" w:hAnsi="宋体" w:cs="宋体"/>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WWW.YlmF.CoM</Company>
  <Pages>6</Pages>
  <Words>1636</Words>
  <Characters>1742</Characters>
  <Lines>14</Lines>
  <Paragraphs>3</Paragraphs>
  <TotalTime>1</TotalTime>
  <ScaleCrop>false</ScaleCrop>
  <LinksUpToDate>false</LinksUpToDate>
  <CharactersWithSpaces>1787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2023-02-14T08:49:00Z</dcterms:created>
  <dc:creator>雨林木风</dc:creator>
  <cp:lastModifiedBy>熊梦洋</cp:lastModifiedBy>
  <cp:lastPrinted>2012-10-12T00:46:00Z</cp:lastPrinted>
  <dcterms:modified xsi:type="dcterms:W3CDTF">2023-02-15T10:21:33Z</dcterms:modified>
  <dc:title>No</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36CEBCBE076F90B7FD5CE463B8D4078A_42</vt:lpwstr>
  </property>
</Properties>
</file>