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hint="eastAsia" w:ascii="微软雅黑" w:hAnsi="微软雅黑" w:eastAsia="微软雅黑" w:cs="Times New Roman"/>
          <w:b/>
          <w:sz w:val="32"/>
          <w:szCs w:val="32"/>
        </w:rPr>
      </w:pPr>
      <w:r>
        <w:rPr>
          <w:rFonts w:hint="eastAsia" w:ascii="微软雅黑" w:hAnsi="微软雅黑" w:eastAsia="微软雅黑" w:cs="Times New Roman"/>
          <w:b/>
          <w:sz w:val="32"/>
          <w:szCs w:val="32"/>
        </w:rPr>
        <w:t>蘑菇车联在“一带一路”奏响中国智能驾驶强音</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：蘑菇车联</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：智能汽车</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22</w:t>
      </w:r>
      <w:r>
        <w:rPr>
          <w:rFonts w:hint="eastAsia" w:ascii="微软雅黑" w:hAnsi="微软雅黑" w:eastAsia="微软雅黑"/>
          <w:sz w:val="21"/>
          <w:szCs w:val="21"/>
        </w:rPr>
        <w:t>.01.</w:t>
      </w:r>
      <w:r>
        <w:rPr>
          <w:rFonts w:ascii="微软雅黑" w:hAnsi="微软雅黑" w:eastAsia="微软雅黑"/>
          <w:sz w:val="21"/>
          <w:szCs w:val="21"/>
        </w:rPr>
        <w:t>01</w:t>
      </w:r>
      <w:r>
        <w:rPr>
          <w:rFonts w:hint="eastAsia" w:ascii="微软雅黑" w:hAnsi="微软雅黑" w:eastAsia="微软雅黑"/>
          <w:sz w:val="21"/>
          <w:szCs w:val="21"/>
        </w:rPr>
        <w:t>-04.24</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：出海营销类</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rPr>
      </w:pPr>
      <w:r>
        <w:rPr>
          <w:rFonts w:hint="eastAsia" w:ascii="微软雅黑" w:hAnsi="微软雅黑" w:eastAsia="微软雅黑"/>
        </w:rPr>
        <w:t>蘑菇车联是最早实践“单车智能+车路协同”技术路线的自动驾驶企业之一，自主研发全球首个“车路云一体化”自动驾驶系统，实现超视距、多维度感知和协同决策，探索出自动驾驶大规模落地的可行路径。</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rPr>
      </w:pPr>
      <w:r>
        <w:rPr>
          <w:rFonts w:hint="eastAsia" w:ascii="微软雅黑" w:hAnsi="微软雅黑" w:eastAsia="微软雅黑"/>
        </w:rPr>
        <w:t>同时，随着全球各国对智能驾驶的政策支持，无人驾驶和高级辅助驾驶的渗透率呈现高速增长态势，因此，对于中国智能驾驶领域的领军企业来说，在全球范围内提升自身品牌认知度具有十分重要的战略意义，尤其在“一带一路”国家，中国智能驾驶领域面临将自身先进技术优势以及品牌形象融合进当地受众认知的挑战。</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sz w:val="21"/>
          <w:szCs w:val="21"/>
        </w:rPr>
      </w:pPr>
      <w:r>
        <w:rPr>
          <w:rFonts w:hint="eastAsia" w:ascii="微软雅黑" w:hAnsi="微软雅黑" w:eastAsia="微软雅黑"/>
        </w:rPr>
        <w:t>随着业务的发展，蘑菇车联积极响应国家“一带一路”战略，通过海外社交媒体创意、活动、内容运维来吸引“一带一路”国家相关人群关注，来呈现更具有亲和力、更活力、更有趣的蘑菇车联品牌国际形象，为未来海外战略落地打下基础，打造中国智能驾驶IP，讲述中国智能驾驶发展故事。</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rPr>
      </w:pPr>
      <w:r>
        <w:rPr>
          <w:rFonts w:hint="eastAsia" w:ascii="微软雅黑" w:hAnsi="微软雅黑" w:eastAsia="微软雅黑"/>
          <w:b/>
          <w:bCs/>
        </w:rPr>
        <w:t>整体目标：</w:t>
      </w:r>
      <w:r>
        <w:rPr>
          <w:rFonts w:hint="eastAsia" w:ascii="微软雅黑" w:hAnsi="微软雅黑" w:eastAsia="微软雅黑"/>
        </w:rPr>
        <w:t>日常维护Facebook、Twitter等海外社交媒体上的蘑菇车联账号，推广和管理蘑菇车联品牌，促进粉丝数量增长；</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rPr>
      </w:pPr>
      <w:r>
        <w:rPr>
          <w:rFonts w:hint="eastAsia" w:ascii="微软雅黑" w:hAnsi="微软雅黑" w:eastAsia="微软雅黑"/>
          <w:b/>
          <w:bCs/>
        </w:rPr>
        <w:t>预期目标：</w:t>
      </w:r>
      <w:r>
        <w:rPr>
          <w:rFonts w:hint="eastAsia" w:ascii="微软雅黑" w:hAnsi="微软雅黑" w:eastAsia="微软雅黑"/>
        </w:rPr>
        <w:t>通过提升蘑菇车联社交媒体平台营销内容的创意和质量，进行数字化改革创新，更好地迎合“一带一路”沿线国家受众群体的兴趣点，设计粉丝互动内容，提升粉丝互动率；</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sz w:val="21"/>
          <w:szCs w:val="21"/>
        </w:rPr>
      </w:pPr>
      <w:r>
        <w:rPr>
          <w:rFonts w:hint="eastAsia" w:ascii="微软雅黑" w:hAnsi="微软雅黑" w:eastAsia="微软雅黑"/>
          <w:b/>
          <w:bCs/>
        </w:rPr>
        <w:t>阶段目标：</w:t>
      </w:r>
      <w:r>
        <w:rPr>
          <w:rFonts w:hint="eastAsia" w:ascii="微软雅黑" w:hAnsi="微软雅黑" w:eastAsia="微软雅黑"/>
        </w:rPr>
        <w:t xml:space="preserve">针对重点目标国家，达成从品牌曝光到效果转化的进一步提升，收集试乘有效线索名单。 </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rPr>
      </w:pPr>
      <w:r>
        <w:rPr>
          <w:rFonts w:hint="eastAsia" w:ascii="微软雅黑" w:hAnsi="微软雅黑" w:eastAsia="微软雅黑"/>
          <w:b/>
          <w:bCs/>
          <w:lang w:val="en-US" w:eastAsia="zh-CN"/>
        </w:rPr>
        <w:t>1.</w:t>
      </w:r>
      <w:r>
        <w:rPr>
          <w:rFonts w:hint="eastAsia" w:ascii="微软雅黑" w:hAnsi="微软雅黑" w:eastAsia="微软雅黑"/>
          <w:b/>
          <w:bCs/>
        </w:rPr>
        <w:t>承载重大活动节点。</w:t>
      </w:r>
      <w:r>
        <w:rPr>
          <w:rFonts w:hint="eastAsia" w:ascii="微软雅黑" w:hAnsi="微软雅黑" w:eastAsia="微软雅黑"/>
        </w:rPr>
        <w:t>结合蘑菇车联重点事件，如技术发布、商业落地、产品及服务介绍，以及中国重大事件与节日，借助活动声量加强社交媒体内容发布，提高蘑菇车联品牌知名度与兴趣线索收集。</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rPr>
      </w:pPr>
      <w:r>
        <w:rPr>
          <w:rFonts w:hint="eastAsia" w:ascii="微软雅黑" w:hAnsi="微软雅黑" w:eastAsia="微软雅黑"/>
          <w:b/>
          <w:bCs/>
          <w:lang w:val="en-US" w:eastAsia="zh-CN"/>
        </w:rPr>
        <w:t>2.</w:t>
      </w:r>
      <w:r>
        <w:rPr>
          <w:rFonts w:hint="eastAsia" w:ascii="微软雅黑" w:hAnsi="微软雅黑" w:eastAsia="微软雅黑"/>
          <w:b/>
          <w:bCs/>
        </w:rPr>
        <w:t>传播形式多样。</w:t>
      </w:r>
      <w:r>
        <w:rPr>
          <w:rFonts w:hint="eastAsia" w:ascii="微软雅黑" w:hAnsi="微软雅黑" w:eastAsia="微软雅黑"/>
        </w:rPr>
        <w:t xml:space="preserve">精心撰写文案、制作视频，贴近重点目标国家受众生活和网络语言习惯，提高用户体验度，导流至官网着陆页，提升蘑菇车联品牌认知度。 </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sz w:val="21"/>
          <w:szCs w:val="21"/>
        </w:rPr>
      </w:pPr>
      <w:r>
        <w:rPr>
          <w:rFonts w:hint="eastAsia" w:ascii="微软雅黑" w:hAnsi="微软雅黑" w:eastAsia="微软雅黑"/>
          <w:b/>
          <w:bCs/>
          <w:lang w:val="en-US" w:eastAsia="zh-CN"/>
        </w:rPr>
        <w:t>3.</w:t>
      </w:r>
      <w:r>
        <w:rPr>
          <w:rFonts w:hint="eastAsia" w:ascii="微软雅黑" w:hAnsi="微软雅黑" w:eastAsia="微软雅黑"/>
          <w:b/>
          <w:bCs/>
        </w:rPr>
        <w:t>线上线下创意活动结合。</w:t>
      </w:r>
      <w:r>
        <w:rPr>
          <w:rFonts w:hint="eastAsia" w:ascii="微软雅黑" w:hAnsi="微软雅黑" w:eastAsia="微软雅黑"/>
        </w:rPr>
        <w:t>针对目标受众，选择精准渠道投放品牌广告，通过线上线下创意活动相结合，实现蘑菇车联与粉丝深度互动。</w:t>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b/>
          <w:bCs/>
        </w:rPr>
      </w:pPr>
      <w:r>
        <w:rPr>
          <w:rFonts w:hint="eastAsia" w:ascii="微软雅黑" w:hAnsi="微软雅黑" w:eastAsia="微软雅黑"/>
          <w:b/>
          <w:bCs/>
          <w:lang w:val="en-US" w:eastAsia="zh-CN"/>
        </w:rPr>
        <w:t>1.</w:t>
      </w:r>
      <w:r>
        <w:rPr>
          <w:rFonts w:hint="eastAsia" w:ascii="微软雅黑" w:hAnsi="微软雅黑" w:eastAsia="微软雅黑"/>
          <w:b/>
          <w:bCs/>
        </w:rPr>
        <w:t>海外社交媒体账号日常运维</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hint="eastAsia" w:ascii="微软雅黑" w:hAnsi="微软雅黑" w:eastAsia="微软雅黑"/>
        </w:rPr>
      </w:pPr>
      <w:r>
        <w:rPr>
          <w:rFonts w:hint="eastAsia" w:ascii="微软雅黑" w:hAnsi="微软雅黑" w:eastAsia="微软雅黑"/>
        </w:rPr>
        <w:t>在Facebook、Twitter等海外社交媒体上开设蘑菇车联账号，聚焦蘑菇车联技术、产品及服务，结合平台特色和“一带一路”沿线国家受众的关注点，打造蘑菇车联IP传播平台，讲述中国智能驾驶发展故事。</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pPr>
      <w:r>
        <w:drawing>
          <wp:inline distT="0" distB="0" distL="114300" distR="114300">
            <wp:extent cx="5715635" cy="3441700"/>
            <wp:effectExtent l="0" t="0" r="1206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715635" cy="3441700"/>
                    </a:xfrm>
                    <a:prstGeom prst="rect">
                      <a:avLst/>
                    </a:prstGeom>
                    <a:noFill/>
                    <a:ln>
                      <a:noFill/>
                    </a:ln>
                  </pic:spPr>
                </pic:pic>
              </a:graphicData>
            </a:graphic>
          </wp:inline>
        </w:drawing>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pPr>
      <w:r>
        <w:drawing>
          <wp:inline distT="0" distB="0" distL="114300" distR="114300">
            <wp:extent cx="5713730" cy="2212975"/>
            <wp:effectExtent l="0" t="0" r="127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713730" cy="2212975"/>
                    </a:xfrm>
                    <a:prstGeom prst="rect">
                      <a:avLst/>
                    </a:prstGeom>
                    <a:noFill/>
                    <a:ln>
                      <a:noFill/>
                    </a:ln>
                  </pic:spPr>
                </pic:pic>
              </a:graphicData>
            </a:graphic>
          </wp:inline>
        </w:drawing>
      </w:r>
      <w:bookmarkStart w:id="0" w:name="OLE_LINK3"/>
      <w:bookmarkStart w:id="1" w:name="OLE_LINK4"/>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center"/>
        <w:rPr>
          <w:rFonts w:hint="eastAsia" w:ascii="微软雅黑" w:hAnsi="微软雅黑" w:eastAsia="微软雅黑"/>
        </w:rPr>
      </w:pPr>
      <w:r>
        <w:rPr>
          <w:rFonts w:hint="eastAsia"/>
        </w:rPr>
        <w:drawing>
          <wp:inline distT="0" distB="0" distL="0" distR="0">
            <wp:extent cx="3462655" cy="4009390"/>
            <wp:effectExtent l="0" t="0" r="444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70044" cy="4017726"/>
                    </a:xfrm>
                    <a:prstGeom prst="rect">
                      <a:avLst/>
                    </a:prstGeom>
                  </pic:spPr>
                </pic:pic>
              </a:graphicData>
            </a:graphic>
          </wp:inline>
        </w:drawing>
      </w:r>
      <w:bookmarkEnd w:id="0"/>
      <w:bookmarkEnd w:id="1"/>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b/>
          <w:bCs/>
        </w:rPr>
      </w:pPr>
      <w:r>
        <w:rPr>
          <w:rFonts w:hint="eastAsia" w:ascii="微软雅黑" w:hAnsi="微软雅黑" w:eastAsia="微软雅黑"/>
          <w:b/>
          <w:bCs/>
          <w:lang w:val="en-US" w:eastAsia="zh-CN"/>
        </w:rPr>
        <w:t>2.</w:t>
      </w:r>
      <w:r>
        <w:rPr>
          <w:rFonts w:hint="eastAsia" w:ascii="微软雅黑" w:hAnsi="微软雅黑" w:eastAsia="微软雅黑"/>
          <w:b/>
          <w:bCs/>
        </w:rPr>
        <w:t>创意视频营销</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hint="eastAsia" w:ascii="微软雅黑" w:hAnsi="微软雅黑" w:eastAsia="微软雅黑"/>
        </w:rPr>
      </w:pPr>
      <w:r>
        <w:rPr>
          <w:rFonts w:hint="eastAsia" w:ascii="微软雅黑" w:hAnsi="微软雅黑" w:eastAsia="微软雅黑"/>
        </w:rPr>
        <w:t>将中国自动驾驶技术的科技感融入契合“一带一路”国家受众的亲和感，视频整体风格以友好、亲和力为主，深度联动中国重大节日节点，优化视频创意内容及样式，高效承接品牌流量。</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pPr>
      <w:r>
        <w:drawing>
          <wp:inline distT="0" distB="0" distL="114300" distR="114300">
            <wp:extent cx="5712460" cy="1574165"/>
            <wp:effectExtent l="0" t="0" r="2540"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712460" cy="1574165"/>
                    </a:xfrm>
                    <a:prstGeom prst="rect">
                      <a:avLst/>
                    </a:prstGeom>
                    <a:noFill/>
                    <a:ln>
                      <a:noFill/>
                    </a:ln>
                  </pic:spPr>
                </pic:pic>
              </a:graphicData>
            </a:graphic>
          </wp:inline>
        </w:drawing>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pPr>
      <w:r>
        <w:drawing>
          <wp:inline distT="0" distB="0" distL="114300" distR="114300">
            <wp:extent cx="5712460" cy="1755140"/>
            <wp:effectExtent l="0" t="0" r="2540"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5712460" cy="1755140"/>
                    </a:xfrm>
                    <a:prstGeom prst="rect">
                      <a:avLst/>
                    </a:prstGeom>
                    <a:noFill/>
                    <a:ln>
                      <a:noFill/>
                    </a:ln>
                  </pic:spPr>
                </pic:pic>
              </a:graphicData>
            </a:graphic>
          </wp:inline>
        </w:drawing>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pPr>
      <w:r>
        <w:drawing>
          <wp:inline distT="0" distB="0" distL="114300" distR="114300">
            <wp:extent cx="5718175" cy="1588135"/>
            <wp:effectExtent l="0" t="0" r="9525" b="1206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718175" cy="1588135"/>
                    </a:xfrm>
                    <a:prstGeom prst="rect">
                      <a:avLst/>
                    </a:prstGeom>
                    <a:noFill/>
                    <a:ln>
                      <a:noFill/>
                    </a:ln>
                  </pic:spPr>
                </pic:pic>
              </a:graphicData>
            </a:graphic>
          </wp:inline>
        </w:drawing>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hint="eastAsia" w:ascii="微软雅黑" w:hAnsi="微软雅黑" w:eastAsia="微软雅黑"/>
        </w:rPr>
      </w:pPr>
      <w:r>
        <w:drawing>
          <wp:inline distT="0" distB="0" distL="114300" distR="114300">
            <wp:extent cx="5713095" cy="1837055"/>
            <wp:effectExtent l="0" t="0" r="1905" b="444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5713095" cy="1837055"/>
                    </a:xfrm>
                    <a:prstGeom prst="rect">
                      <a:avLst/>
                    </a:prstGeom>
                    <a:noFill/>
                    <a:ln>
                      <a:noFill/>
                    </a:ln>
                  </pic:spPr>
                </pic:pic>
              </a:graphicData>
            </a:graphic>
          </wp:inline>
        </w:drawing>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b/>
          <w:bCs/>
        </w:rPr>
      </w:pPr>
      <w:r>
        <w:rPr>
          <w:rFonts w:hint="eastAsia" w:ascii="微软雅黑" w:hAnsi="微软雅黑" w:eastAsia="微软雅黑"/>
          <w:b/>
          <w:bCs/>
          <w:lang w:val="en-US" w:eastAsia="zh-CN"/>
        </w:rPr>
        <w:t>3.</w:t>
      </w:r>
      <w:r>
        <w:rPr>
          <w:rFonts w:hint="eastAsia" w:ascii="微软雅黑" w:hAnsi="微软雅黑" w:eastAsia="微软雅黑"/>
          <w:b/>
          <w:bCs/>
        </w:rPr>
        <w:t>打造“一带一路”国家感情共鸣社会化营销策略</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hint="eastAsia" w:ascii="微软雅黑" w:hAnsi="微软雅黑" w:eastAsia="微软雅黑"/>
        </w:rPr>
      </w:pPr>
      <w:r>
        <w:rPr>
          <w:rFonts w:hint="eastAsia" w:ascii="微软雅黑" w:hAnsi="微软雅黑" w:eastAsia="微软雅黑"/>
        </w:rPr>
        <w:t>基于蘑菇车联重要事件为节点，挖掘具有“一带一路”国家受众社会话题性和传播力的话题，融合品牌认知度打造与社会性话题营销，引发受众的共情共鸣，共同参与传播。</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sz w:val="21"/>
          <w:szCs w:val="21"/>
        </w:rPr>
      </w:pPr>
      <w:r>
        <w:drawing>
          <wp:inline distT="0" distB="0" distL="114300" distR="114300">
            <wp:extent cx="5719445" cy="2477770"/>
            <wp:effectExtent l="0" t="0" r="8255" b="1143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5719445" cy="24777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pStyle w:val="24"/>
        <w:keepNext w:val="0"/>
        <w:keepLines w:val="0"/>
        <w:pageBreakBefore w:val="0"/>
        <w:numPr>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自2022年1月1日至4月24日，Facebook账号粉丝从零基础达到14326人；粉丝数量远超国内同行海外账号粉丝数量；Twitter账号粉丝从零基础达到2827人，粉丝数量超过大多数国内同行海外账号粉丝数量。</w:t>
      </w:r>
    </w:p>
    <w:p>
      <w:pPr>
        <w:pStyle w:val="24"/>
        <w:keepNext w:val="0"/>
        <w:keepLines w:val="0"/>
        <w:pageBreakBefore w:val="0"/>
        <w:numPr>
          <w:numId w:val="0"/>
        </w:numPr>
        <w:kinsoku/>
        <w:wordWrap/>
        <w:overflowPunct/>
        <w:topLinePunct w:val="0"/>
        <w:autoSpaceDE/>
        <w:autoSpaceDN/>
        <w:bidi w:val="0"/>
        <w:adjustRightInd/>
        <w:snapToGrid/>
        <w:spacing w:before="100" w:beforeAutospacing="1" w:after="100" w:afterAutospacing="1"/>
      </w:pPr>
      <w:r>
        <w:drawing>
          <wp:inline distT="0" distB="0" distL="114300" distR="114300">
            <wp:extent cx="4768850" cy="4387850"/>
            <wp:effectExtent l="0" t="0" r="6350" b="635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a:off x="0" y="0"/>
                      <a:ext cx="4768850" cy="4387850"/>
                    </a:xfrm>
                    <a:prstGeom prst="rect">
                      <a:avLst/>
                    </a:prstGeom>
                    <a:noFill/>
                    <a:ln>
                      <a:noFill/>
                    </a:ln>
                  </pic:spPr>
                </pic:pic>
              </a:graphicData>
            </a:graphic>
          </wp:inline>
        </w:drawing>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rPr>
      </w:pPr>
      <w:r>
        <w:rPr>
          <w:rFonts w:hint="eastAsia" w:ascii="微软雅黑" w:hAnsi="微软雅黑" w:eastAsia="微软雅黑"/>
          <w:lang w:val="en-US" w:eastAsia="zh-CN"/>
        </w:rPr>
        <w:t>2.</w:t>
      </w:r>
      <w:r>
        <w:rPr>
          <w:rFonts w:hint="eastAsia" w:ascii="微软雅黑" w:hAnsi="微软雅黑" w:eastAsia="微软雅黑"/>
        </w:rPr>
        <w:t>视频互动及触达相对较高，互动比例达到1.1%，高于行业平均水平0.3-0.6%。</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left"/>
        <w:rPr>
          <w:rFonts w:ascii="宋体" w:hAnsi="宋体"/>
          <w:sz w:val="24"/>
        </w:rPr>
      </w:pPr>
      <w:r>
        <w:rPr>
          <w:rFonts w:ascii="宋体" w:hAnsi="宋体"/>
          <w:sz w:val="24"/>
        </w:rPr>
        <w:drawing>
          <wp:inline distT="0" distB="0" distL="0" distR="0">
            <wp:extent cx="3937000" cy="1845310"/>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3980727" cy="1865666"/>
                    </a:xfrm>
                    <a:prstGeom prst="rect">
                      <a:avLst/>
                    </a:prstGeom>
                  </pic:spPr>
                </pic:pic>
              </a:graphicData>
            </a:graphic>
          </wp:inline>
        </w:drawing>
      </w:r>
      <w:bookmarkStart w:id="2" w:name="_GoBack"/>
      <w:bookmarkEnd w:id="2"/>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rPr>
      </w:pPr>
      <w:r>
        <w:rPr>
          <w:rFonts w:hint="eastAsia" w:ascii="微软雅黑" w:hAnsi="微软雅黑" w:eastAsia="微软雅黑"/>
          <w:lang w:val="en-US" w:eastAsia="zh-CN"/>
        </w:rPr>
        <w:t>3.</w:t>
      </w:r>
      <w:r>
        <w:rPr>
          <w:rFonts w:hint="eastAsia" w:ascii="微软雅黑" w:hAnsi="微软雅黑" w:eastAsia="微软雅黑"/>
        </w:rPr>
        <w:t>同时联动欧洲权威汽车媒体AUTO FUTURES进行采访报道、传播。</w:t>
      </w:r>
    </w:p>
    <w:p>
      <w:pPr>
        <w:pStyle w:val="24"/>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szCs w:val="21"/>
        </w:rPr>
      </w:pPr>
      <w:r>
        <w:rPr>
          <w:rFonts w:ascii="宋体" w:hAnsi="宋体" w:cs="宋体"/>
          <w:kern w:val="0"/>
          <w:sz w:val="24"/>
        </w:rPr>
        <w:fldChar w:fldCharType="begin"/>
      </w:r>
      <w:r>
        <w:rPr>
          <w:rFonts w:ascii="宋体" w:hAnsi="宋体" w:cs="宋体"/>
          <w:kern w:val="0"/>
          <w:sz w:val="24"/>
        </w:rPr>
        <w:instrText xml:space="preserve"> INCLUDEPICTURE "/var/folders/hn/fct1k1q97v541xmh8dtmbbvm0000gn/T/com.microsoft.Word/WebArchiveCopyPasteTempFiles/rBABCWFR7x6ADuwSAAAAAAAAAAA574.636x640.jpg" \* MERGEFORMATINET </w:instrText>
      </w:r>
      <w:r>
        <w:rPr>
          <w:rFonts w:ascii="宋体" w:hAnsi="宋体" w:cs="宋体"/>
          <w:kern w:val="0"/>
          <w:sz w:val="24"/>
        </w:rPr>
        <w:fldChar w:fldCharType="separate"/>
      </w:r>
      <w:r>
        <w:rPr>
          <w:rFonts w:ascii="宋体" w:hAnsi="宋体" w:cs="宋体"/>
          <w:kern w:val="0"/>
          <w:sz w:val="24"/>
        </w:rPr>
        <w:drawing>
          <wp:inline distT="0" distB="0" distL="0" distR="0">
            <wp:extent cx="5270500" cy="5300980"/>
            <wp:effectExtent l="0" t="0" r="6350" b="13970"/>
            <wp:docPr id="3" name="图片 3" descr="汽车频道【资讯】海外媒体报道：中国公司蘑菇车联落地全球最大自动驾驶项目之一_fororder_46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汽车频道【资讯】海外媒体报道：中国公司蘑菇车联落地全球最大自动驾驶项目之一_fororder_464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5300980"/>
                    </a:xfrm>
                    <a:prstGeom prst="rect">
                      <a:avLst/>
                    </a:prstGeom>
                    <a:noFill/>
                    <a:ln>
                      <a:noFill/>
                    </a:ln>
                  </pic:spPr>
                </pic:pic>
              </a:graphicData>
            </a:graphic>
          </wp:inline>
        </w:drawing>
      </w:r>
      <w:r>
        <w:rPr>
          <w:rFonts w:ascii="宋体" w:hAnsi="宋体" w:cs="宋体"/>
          <w:kern w:val="0"/>
          <w:sz w:val="24"/>
        </w:rPr>
        <w:fldChar w:fldCharType="end"/>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JlOWQ2MTZmNThmNzI0ODVlODI5NWI0YzI3YjYyZGE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B2332"/>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6B18"/>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6676B"/>
    <w:rsid w:val="006707FE"/>
    <w:rsid w:val="0067611E"/>
    <w:rsid w:val="006853C8"/>
    <w:rsid w:val="00693C3F"/>
    <w:rsid w:val="006955F5"/>
    <w:rsid w:val="006A24F1"/>
    <w:rsid w:val="006B5BB6"/>
    <w:rsid w:val="006B781B"/>
    <w:rsid w:val="006C16A7"/>
    <w:rsid w:val="006C1733"/>
    <w:rsid w:val="006D2064"/>
    <w:rsid w:val="006D4934"/>
    <w:rsid w:val="006D5766"/>
    <w:rsid w:val="006F137A"/>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4F00"/>
    <w:rsid w:val="00776F56"/>
    <w:rsid w:val="0079238C"/>
    <w:rsid w:val="00793F18"/>
    <w:rsid w:val="00795109"/>
    <w:rsid w:val="007A0451"/>
    <w:rsid w:val="007A4E3A"/>
    <w:rsid w:val="007A60EB"/>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96E41"/>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07C"/>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0B95"/>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100C"/>
    <w:rsid w:val="00DB3708"/>
    <w:rsid w:val="00DB4C4A"/>
    <w:rsid w:val="00DC32E7"/>
    <w:rsid w:val="00DC397E"/>
    <w:rsid w:val="00DD4C83"/>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57F4"/>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2DD029C"/>
    <w:rsid w:val="05C92D22"/>
    <w:rsid w:val="078D3A1F"/>
    <w:rsid w:val="079B3B12"/>
    <w:rsid w:val="08DD09D6"/>
    <w:rsid w:val="0BC83278"/>
    <w:rsid w:val="0C3B1C9C"/>
    <w:rsid w:val="0D545BE7"/>
    <w:rsid w:val="157B57FF"/>
    <w:rsid w:val="168B1A72"/>
    <w:rsid w:val="174B2FAF"/>
    <w:rsid w:val="1763654B"/>
    <w:rsid w:val="18AE1A47"/>
    <w:rsid w:val="19670574"/>
    <w:rsid w:val="1D465C9B"/>
    <w:rsid w:val="1EA54C93"/>
    <w:rsid w:val="24075CE4"/>
    <w:rsid w:val="24390915"/>
    <w:rsid w:val="27FF406E"/>
    <w:rsid w:val="28CA467C"/>
    <w:rsid w:val="294D19A5"/>
    <w:rsid w:val="2D215568"/>
    <w:rsid w:val="2DB66F7C"/>
    <w:rsid w:val="34EC4EBD"/>
    <w:rsid w:val="365B7C60"/>
    <w:rsid w:val="36FD3E6E"/>
    <w:rsid w:val="3A226533"/>
    <w:rsid w:val="3B4007CD"/>
    <w:rsid w:val="3D931088"/>
    <w:rsid w:val="3E8E2852"/>
    <w:rsid w:val="41524D35"/>
    <w:rsid w:val="41BE244C"/>
    <w:rsid w:val="450D7972"/>
    <w:rsid w:val="46DC63A8"/>
    <w:rsid w:val="4AB368C6"/>
    <w:rsid w:val="4CDA6FC5"/>
    <w:rsid w:val="4E9C58C3"/>
    <w:rsid w:val="4EE01C53"/>
    <w:rsid w:val="4FFE4A87"/>
    <w:rsid w:val="51512AA8"/>
    <w:rsid w:val="58ED5699"/>
    <w:rsid w:val="5BB73D3C"/>
    <w:rsid w:val="608368E3"/>
    <w:rsid w:val="64B90B25"/>
    <w:rsid w:val="65815AE7"/>
    <w:rsid w:val="65EB11B2"/>
    <w:rsid w:val="68F640F6"/>
    <w:rsid w:val="695852FD"/>
    <w:rsid w:val="6CE16E6B"/>
    <w:rsid w:val="6CF82AD4"/>
    <w:rsid w:val="6EA248B7"/>
    <w:rsid w:val="6F7904EA"/>
    <w:rsid w:val="73E831D5"/>
    <w:rsid w:val="74EB6AD9"/>
    <w:rsid w:val="753D0D01"/>
    <w:rsid w:val="771F5450"/>
    <w:rsid w:val="791C2E45"/>
    <w:rsid w:val="7A2D7B93"/>
    <w:rsid w:val="7D7873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semiHidden/>
    <w:unhideWhenUsed/>
    <w:qFormat/>
    <w:uiPriority w:val="99"/>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8"/>
    <w:semiHidden/>
    <w:unhideWhenUsed/>
    <w:qFormat/>
    <w:uiPriority w:val="99"/>
    <w:rPr>
      <w:sz w:val="18"/>
      <w:szCs w:val="18"/>
    </w:rPr>
  </w:style>
  <w:style w:type="paragraph" w:styleId="7">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qFormat/>
    <w:uiPriority w:val="0"/>
    <w:pPr>
      <w:spacing w:before="100" w:beforeAutospacing="1" w:after="100" w:afterAutospacing="1"/>
    </w:pPr>
    <w:rPr>
      <w:rFonts w:cs="Times New Roman"/>
      <w:szCs w:val="20"/>
    </w:rPr>
  </w:style>
  <w:style w:type="paragraph" w:styleId="10">
    <w:name w:val="Title"/>
    <w:basedOn w:val="1"/>
    <w:link w:val="20"/>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0"/>
    <w:semiHidden/>
    <w:unhideWhenUsed/>
    <w:qFormat/>
    <w:uiPriority w:val="99"/>
    <w:rPr>
      <w:b/>
      <w:bC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Emphasis"/>
    <w:basedOn w:val="14"/>
    <w:qFormat/>
    <w:uiPriority w:val="0"/>
    <w:rPr>
      <w:i/>
    </w:rPr>
  </w:style>
  <w:style w:type="character" w:styleId="18">
    <w:name w:val="Hyperlink"/>
    <w:basedOn w:val="14"/>
    <w:qFormat/>
    <w:uiPriority w:val="0"/>
    <w:rPr>
      <w:color w:val="0000FF"/>
      <w:u w:val="single"/>
    </w:rPr>
  </w:style>
  <w:style w:type="character" w:styleId="19">
    <w:name w:val="annotation reference"/>
    <w:basedOn w:val="14"/>
    <w:semiHidden/>
    <w:unhideWhenUsed/>
    <w:qFormat/>
    <w:uiPriority w:val="99"/>
    <w:rPr>
      <w:sz w:val="21"/>
      <w:szCs w:val="21"/>
    </w:rPr>
  </w:style>
  <w:style w:type="character" w:customStyle="1" w:styleId="20">
    <w:name w:val="标题 字符"/>
    <w:basedOn w:val="14"/>
    <w:link w:val="10"/>
    <w:qFormat/>
    <w:uiPriority w:val="0"/>
    <w:rPr>
      <w:b/>
      <w:sz w:val="28"/>
      <w:lang w:eastAsia="en-US"/>
    </w:rPr>
  </w:style>
  <w:style w:type="character" w:customStyle="1" w:styleId="21">
    <w:name w:val="bottom1"/>
    <w:basedOn w:val="14"/>
    <w:qFormat/>
    <w:uiPriority w:val="0"/>
    <w:rPr>
      <w:color w:val="6E6E6E"/>
    </w:rPr>
  </w:style>
  <w:style w:type="character" w:customStyle="1" w:styleId="22">
    <w:name w:val="apple-converted-space"/>
    <w:basedOn w:val="14"/>
    <w:qFormat/>
    <w:uiPriority w:val="0"/>
  </w:style>
  <w:style w:type="character" w:customStyle="1" w:styleId="23">
    <w:name w:val="apple-style-span"/>
    <w:basedOn w:val="14"/>
    <w:qFormat/>
    <w:uiPriority w:val="0"/>
  </w:style>
  <w:style w:type="paragraph" w:styleId="24">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5">
    <w:name w:val="p0"/>
    <w:basedOn w:val="1"/>
    <w:qFormat/>
    <w:uiPriority w:val="0"/>
    <w:pPr>
      <w:jc w:val="both"/>
    </w:pPr>
    <w:rPr>
      <w:rFonts w:ascii="Times New Roman" w:hAnsi="Times New Roman" w:cs="Times New Roman"/>
      <w:sz w:val="21"/>
      <w:szCs w:val="20"/>
    </w:rPr>
  </w:style>
  <w:style w:type="paragraph" w:customStyle="1" w:styleId="26">
    <w:name w:val="css"/>
    <w:basedOn w:val="1"/>
    <w:qFormat/>
    <w:uiPriority w:val="0"/>
    <w:pPr>
      <w:spacing w:before="100" w:beforeAutospacing="1" w:after="100" w:afterAutospacing="1"/>
    </w:pPr>
    <w:rPr>
      <w:rFonts w:cs="Times New Roman"/>
      <w:color w:val="0F0000"/>
      <w:sz w:val="18"/>
      <w:szCs w:val="20"/>
    </w:rPr>
  </w:style>
  <w:style w:type="paragraph" w:customStyle="1" w:styleId="27">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8">
    <w:name w:val="批注框文本 字符"/>
    <w:basedOn w:val="14"/>
    <w:link w:val="6"/>
    <w:semiHidden/>
    <w:qFormat/>
    <w:uiPriority w:val="99"/>
    <w:rPr>
      <w:kern w:val="2"/>
      <w:sz w:val="18"/>
      <w:szCs w:val="18"/>
    </w:rPr>
  </w:style>
  <w:style w:type="character" w:customStyle="1" w:styleId="29">
    <w:name w:val="批注文字 字符"/>
    <w:basedOn w:val="14"/>
    <w:link w:val="3"/>
    <w:semiHidden/>
    <w:qFormat/>
    <w:uiPriority w:val="99"/>
    <w:rPr>
      <w:rFonts w:ascii="宋体" w:hAnsi="宋体" w:cs="宋体"/>
      <w:sz w:val="24"/>
      <w:szCs w:val="24"/>
    </w:rPr>
  </w:style>
  <w:style w:type="character" w:customStyle="1" w:styleId="30">
    <w:name w:val="批注主题 字符"/>
    <w:basedOn w:val="29"/>
    <w:link w:val="11"/>
    <w:semiHidden/>
    <w:qFormat/>
    <w:uiPriority w:val="99"/>
    <w:rPr>
      <w:rFonts w:ascii="宋体" w:hAnsi="宋体" w:cs="宋体"/>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6</Pages>
  <Words>1263</Words>
  <Characters>1358</Characters>
  <Lines>17</Lines>
  <Paragraphs>5</Paragraphs>
  <TotalTime>4</TotalTime>
  <ScaleCrop>false</ScaleCrop>
  <LinksUpToDate>false</LinksUpToDate>
  <CharactersWithSpaces>1363</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王阳</cp:lastModifiedBy>
  <cp:lastPrinted>2012-10-11T08:46:00Z</cp:lastPrinted>
  <dcterms:modified xsi:type="dcterms:W3CDTF">2023-02-13T09:54:01Z</dcterms:modified>
  <dc:title>No</dc:title>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A4CC08B94D3940C9A31F7EC8722EC76D</vt:lpwstr>
  </property>
</Properties>
</file>